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58" w:rsidRPr="00787A23" w:rsidRDefault="00683258" w:rsidP="00683258">
      <w:pPr>
        <w:spacing w:line="240" w:lineRule="auto"/>
        <w:jc w:val="both"/>
        <w:rPr>
          <w:color w:val="A6A6A6" w:themeColor="background1" w:themeShade="A6"/>
        </w:rPr>
      </w:pPr>
      <w:r w:rsidRPr="00787A23">
        <w:rPr>
          <w:color w:val="A6A6A6" w:themeColor="background1" w:themeShade="A6"/>
        </w:rPr>
        <w:t>…</w:t>
      </w:r>
      <w:proofErr w:type="gramStart"/>
      <w:r w:rsidRPr="00787A23">
        <w:rPr>
          <w:color w:val="A6A6A6" w:themeColor="background1" w:themeShade="A6"/>
        </w:rPr>
        <w:t>………………………………….</w:t>
      </w:r>
      <w:proofErr w:type="gramEnd"/>
      <w:r w:rsidRPr="00787A23">
        <w:rPr>
          <w:color w:val="A6A6A6" w:themeColor="background1" w:themeShade="A6"/>
        </w:rPr>
        <w:t>(bíróság)</w:t>
      </w:r>
    </w:p>
    <w:p w:rsidR="00683258" w:rsidRPr="00683258" w:rsidRDefault="00683258" w:rsidP="00683258">
      <w:pPr>
        <w:spacing w:line="240" w:lineRule="auto"/>
        <w:jc w:val="both"/>
        <w:rPr>
          <w:color w:val="A6A6A6" w:themeColor="background1" w:themeShade="A6"/>
        </w:rPr>
      </w:pPr>
      <w:r w:rsidRPr="00787A23">
        <w:rPr>
          <w:color w:val="A6A6A6" w:themeColor="background1" w:themeShade="A6"/>
        </w:rPr>
        <w:t>……………………………………. (cím)</w:t>
      </w:r>
    </w:p>
    <w:p w:rsidR="00683258" w:rsidRDefault="00683258" w:rsidP="00683258">
      <w:pPr>
        <w:spacing w:line="240" w:lineRule="auto"/>
        <w:jc w:val="both"/>
      </w:pPr>
      <w:r>
        <w:t xml:space="preserve">Tisztelt…………………………………. Bíróság! </w:t>
      </w:r>
    </w:p>
    <w:p w:rsidR="00683258" w:rsidRDefault="00683258" w:rsidP="00683258">
      <w:pPr>
        <w:spacing w:line="240" w:lineRule="auto"/>
        <w:jc w:val="both"/>
      </w:pPr>
      <w:r>
        <w:t>Kérem, hogy a P</w:t>
      </w:r>
      <w:r w:rsidR="006D43BE">
        <w:t xml:space="preserve">olgári </w:t>
      </w:r>
      <w:r>
        <w:t>p</w:t>
      </w:r>
      <w:r w:rsidR="006D43BE">
        <w:t>errendtartás (a továbbiakban: Pp</w:t>
      </w:r>
      <w:r>
        <w:t>.</w:t>
      </w:r>
      <w:r w:rsidR="006D43BE">
        <w:t>)</w:t>
      </w:r>
      <w:r>
        <w:t xml:space="preserve"> 1</w:t>
      </w:r>
      <w:r w:rsidR="006D43BE">
        <w:t>62</w:t>
      </w:r>
      <w:r>
        <w:t>. § alapján, a képviseltemmel kapcsolatos eljárás során keletkezett valamennyi iratot a megjelölt e-mail címre (…………………………….) továbbítsák!</w:t>
      </w:r>
    </w:p>
    <w:p w:rsidR="00590949" w:rsidRDefault="00590949" w:rsidP="00683258">
      <w:pPr>
        <w:spacing w:line="240" w:lineRule="auto"/>
        <w:jc w:val="both"/>
      </w:pPr>
      <w:r>
        <w:t>Meghatalmazásomat csatolom az emailhez.</w:t>
      </w:r>
    </w:p>
    <w:p w:rsidR="00683258" w:rsidRPr="00683258" w:rsidRDefault="00683258" w:rsidP="00683258">
      <w:pPr>
        <w:spacing w:line="240" w:lineRule="auto"/>
        <w:jc w:val="both"/>
        <w:rPr>
          <w:u w:val="single"/>
        </w:rPr>
      </w:pPr>
      <w:r w:rsidRPr="00683258">
        <w:rPr>
          <w:u w:val="single"/>
        </w:rPr>
        <w:t xml:space="preserve">Indokolás: </w:t>
      </w:r>
    </w:p>
    <w:p w:rsidR="00683258" w:rsidRDefault="00683258" w:rsidP="00683258">
      <w:pPr>
        <w:spacing w:after="0" w:line="240" w:lineRule="auto"/>
        <w:jc w:val="both"/>
      </w:pPr>
      <w:r>
        <w:t>A Pp. 1</w:t>
      </w:r>
      <w:r w:rsidR="006D43BE">
        <w:t>62</w:t>
      </w:r>
      <w:r>
        <w:t>. §</w:t>
      </w:r>
      <w:r>
        <w:rPr>
          <w:vertAlign w:val="superscript"/>
        </w:rPr>
        <w:t xml:space="preserve">  </w:t>
      </w:r>
      <w:r>
        <w:t xml:space="preserve">(1) </w:t>
      </w:r>
      <w:proofErr w:type="spellStart"/>
      <w:r>
        <w:t>bek</w:t>
      </w:r>
      <w:proofErr w:type="spellEnd"/>
      <w:r>
        <w:t xml:space="preserve">. kimondja, hogy a felek és a perben részt vevő egyéb személyek, </w:t>
      </w:r>
      <w:r>
        <w:rPr>
          <w:b/>
        </w:rPr>
        <w:t xml:space="preserve">valamint azok képviselői </w:t>
      </w:r>
      <w:r>
        <w:t xml:space="preserve">a per iratait - a határozatok tervezeteinek és az esetleges különvéleménynek kivételével - a per bármely szakaszában külön engedély nélkül </w:t>
      </w:r>
      <w:r>
        <w:rPr>
          <w:b/>
        </w:rPr>
        <w:t>megtekinthetik és azokról maguknak másolatokat (kivonatokat) készíthetnek</w:t>
      </w:r>
      <w:r>
        <w:t>. A</w:t>
      </w:r>
      <w:r w:rsidR="006D43BE">
        <w:t xml:space="preserve"> Pp. 619. §</w:t>
      </w:r>
      <w:r>
        <w:t xml:space="preserve"> (</w:t>
      </w:r>
      <w:r w:rsidR="006D43BE">
        <w:t>1</w:t>
      </w:r>
      <w:r>
        <w:t>)</w:t>
      </w:r>
      <w:r>
        <w:rPr>
          <w:vertAlign w:val="superscript"/>
        </w:rPr>
        <w:t xml:space="preserve"> </w:t>
      </w:r>
      <w:proofErr w:type="spellStart"/>
      <w:r>
        <w:t>bek</w:t>
      </w:r>
      <w:proofErr w:type="spellEnd"/>
      <w:r>
        <w:t xml:space="preserve">. szerint, a fél és a perben részt vevő egyéb személy, valamint azok képviselője írásban vagy a tárgyaláson kérheti, hogy a részére kiadható iratot </w:t>
      </w:r>
      <w:r>
        <w:rPr>
          <w:b/>
        </w:rPr>
        <w:t>elektronikus formában</w:t>
      </w:r>
      <w:r>
        <w:t xml:space="preserve"> az általa megjelölt e-mail címre továbbítsa a bíróság, ha az irat</w:t>
      </w:r>
    </w:p>
    <w:p w:rsidR="00683258" w:rsidRDefault="00683258" w:rsidP="00683258">
      <w:pPr>
        <w:spacing w:after="0" w:line="240" w:lineRule="auto"/>
        <w:jc w:val="both"/>
      </w:pPr>
      <w:r>
        <w:rPr>
          <w:i/>
        </w:rPr>
        <w:t>a) </w:t>
      </w:r>
      <w:r>
        <w:t>elektronikus formában,</w:t>
      </w:r>
    </w:p>
    <w:p w:rsidR="00683258" w:rsidRDefault="00683258" w:rsidP="00683258">
      <w:pPr>
        <w:spacing w:after="0" w:line="240" w:lineRule="auto"/>
        <w:jc w:val="both"/>
      </w:pPr>
      <w:r>
        <w:rPr>
          <w:i/>
        </w:rPr>
        <w:t>b) </w:t>
      </w:r>
      <w:r>
        <w:t>elektronikus okiratként vagy</w:t>
      </w:r>
    </w:p>
    <w:p w:rsidR="00683258" w:rsidRDefault="00683258" w:rsidP="00683258">
      <w:pPr>
        <w:spacing w:after="0" w:line="240" w:lineRule="auto"/>
        <w:jc w:val="both"/>
      </w:pPr>
      <w:r>
        <w:rPr>
          <w:i/>
        </w:rPr>
        <w:t>c) </w:t>
      </w:r>
      <w:r>
        <w:t>a papíralapú okirat elektronikus másolataként a bíróságnál rendelkezésre áll.</w:t>
      </w:r>
    </w:p>
    <w:p w:rsidR="00683258" w:rsidRDefault="00683258" w:rsidP="00683258">
      <w:pPr>
        <w:spacing w:after="0" w:line="240" w:lineRule="auto"/>
        <w:jc w:val="both"/>
      </w:pPr>
    </w:p>
    <w:p w:rsidR="00683258" w:rsidRDefault="00683258" w:rsidP="00683258">
      <w:pPr>
        <w:spacing w:after="0" w:line="240" w:lineRule="auto"/>
        <w:jc w:val="both"/>
      </w:pPr>
      <w:r>
        <w:t xml:space="preserve">A Pp. </w:t>
      </w:r>
      <w:r w:rsidR="00F335F7">
        <w:t>6</w:t>
      </w:r>
      <w:r>
        <w:t>19. § (</w:t>
      </w:r>
      <w:r w:rsidR="00F335F7">
        <w:t>2</w:t>
      </w:r>
      <w:r>
        <w:t xml:space="preserve">) </w:t>
      </w:r>
      <w:proofErr w:type="spellStart"/>
      <w:r>
        <w:t>bek</w:t>
      </w:r>
      <w:proofErr w:type="spellEnd"/>
      <w:r>
        <w:t>. alapján, az (</w:t>
      </w:r>
      <w:r w:rsidR="00F335F7">
        <w:t>1</w:t>
      </w:r>
      <w:r>
        <w:t>) bekezdésben meghatározott esetben az irat továbbításáért nem kell illetéket fizetni. Az irat akkor áll elektronikus formában rendelkezésre, ha a bíróság a papír alapú iratot informatikai eszköz alkalmazásával szerkesztette meg; az elektronikus formában rendelkezésre álló irat nem hiteles kiadmány, az bizonyítékként nem használható fel.</w:t>
      </w:r>
    </w:p>
    <w:p w:rsidR="00683258" w:rsidRDefault="00683258" w:rsidP="00683258">
      <w:pPr>
        <w:spacing w:after="0" w:line="240" w:lineRule="auto"/>
        <w:jc w:val="both"/>
      </w:pPr>
    </w:p>
    <w:p w:rsidR="00683258" w:rsidRDefault="00683258" w:rsidP="00683258">
      <w:pPr>
        <w:spacing w:line="240" w:lineRule="auto"/>
        <w:jc w:val="both"/>
      </w:pPr>
      <w:r>
        <w:t>A Pp. 6</w:t>
      </w:r>
      <w:r w:rsidR="00F335F7">
        <w:t>4</w:t>
      </w:r>
      <w:r>
        <w:t xml:space="preserve">. § (1) </w:t>
      </w:r>
      <w:proofErr w:type="spellStart"/>
      <w:r>
        <w:t>bek</w:t>
      </w:r>
      <w:proofErr w:type="spellEnd"/>
      <w:r>
        <w:t>. szerint az ügyfél vagy törvényes képviselője által választott meghatalmazott is eljárhat, a 6</w:t>
      </w:r>
      <w:r w:rsidR="00F335F7">
        <w:t>5</w:t>
      </w:r>
      <w:r>
        <w:t>. § (</w:t>
      </w:r>
      <w:r w:rsidR="00F335F7">
        <w:t>c</w:t>
      </w:r>
      <w:r>
        <w:t>) pontja szerint pedig a perben meghatalmazottként eljárhat a hozzátartozója is. A Pp. 6</w:t>
      </w:r>
      <w:r w:rsidR="00F335F7">
        <w:t>7</w:t>
      </w:r>
      <w:r>
        <w:t>. § szerint a meghatalmazást írásba kell foglalni vagy jegyzőkönyvbe kell mondani. Írásbeli meghatalmazás esetében a meghatalmazott köteles eredeti meghatalmazását vagy annak hitelesített másolatát első jelentkezése alkalmával az iratokhoz csatolás végett a bíróságnak bemutatni. Az írásbeli meghatalmazást közokiratba vagy teljes bizonyító erejű magánokiratba (</w:t>
      </w:r>
      <w:r w:rsidR="00F335F7">
        <w:t>67</w:t>
      </w:r>
      <w:r>
        <w:t xml:space="preserve">. §) kell foglalni. Ilyen meghatalmazásnak tekintendő ha az ügyfél </w:t>
      </w:r>
      <w:proofErr w:type="spellStart"/>
      <w:r>
        <w:t>sajátkezűleg</w:t>
      </w:r>
      <w:proofErr w:type="spellEnd"/>
      <w:r>
        <w:t xml:space="preserve"> írta és aláírta, vagy ha a nem általa kézzel írt meghatalmazást két tanú aláírta. (Pp. </w:t>
      </w:r>
      <w:r w:rsidR="00F335F7">
        <w:t>325</w:t>
      </w:r>
      <w:r>
        <w:t>.§ (1))</w:t>
      </w:r>
    </w:p>
    <w:p w:rsidR="00683258" w:rsidRDefault="00683258" w:rsidP="00683258">
      <w:pPr>
        <w:spacing w:line="240" w:lineRule="auto"/>
        <w:jc w:val="both"/>
      </w:pPr>
      <w:r>
        <w:t>Tekintettel arra, hogy az iratbetekintés a perhez szükséges előfeltétel, a fentiek az iratbetekintési jog gyakorlása során értelemszerűen alkalmazandóak.</w:t>
      </w:r>
    </w:p>
    <w:p w:rsidR="00683258" w:rsidRDefault="00683258" w:rsidP="00683258">
      <w:pPr>
        <w:spacing w:line="240" w:lineRule="auto"/>
        <w:jc w:val="both"/>
      </w:pPr>
      <w:r>
        <w:t xml:space="preserve">Az iratbetekintésben, mint ügyintézési ügycsoportban korlátozó gondnokság alatt álló ügyfél gondnokának hozzájárulása az iratbetekintéshez nem szükséges, hiszen az iratbetekintésre éppen a gondnoksággal kapcsolatos per miatt  van szükség. A Pp. </w:t>
      </w:r>
      <w:r w:rsidR="00F335F7">
        <w:t>438</w:t>
      </w:r>
      <w:r>
        <w:t>. §</w:t>
      </w:r>
      <w:r>
        <w:rPr>
          <w:vertAlign w:val="superscript"/>
        </w:rPr>
        <w:t xml:space="preserve"> </w:t>
      </w:r>
      <w:r>
        <w:t xml:space="preserve">(1) </w:t>
      </w:r>
      <w:proofErr w:type="spellStart"/>
      <w:r>
        <w:t>bek</w:t>
      </w:r>
      <w:proofErr w:type="spellEnd"/>
      <w:r>
        <w:t>. kimondja, hogy a gondnokság alá helyezési perben</w:t>
      </w:r>
      <w:r w:rsidR="00F335F7">
        <w:t xml:space="preserve"> </w:t>
      </w:r>
      <w:r>
        <w:t xml:space="preserve">az alperes teljes perbeli cselekvőképességgel rendelkezik. A Pp. </w:t>
      </w:r>
      <w:r w:rsidR="00F335F7">
        <w:t>449</w:t>
      </w:r>
      <w:r>
        <w:t xml:space="preserve">. § (3) </w:t>
      </w:r>
      <w:proofErr w:type="spellStart"/>
      <w:r>
        <w:t>bek</w:t>
      </w:r>
      <w:proofErr w:type="spellEnd"/>
      <w:r>
        <w:t xml:space="preserve">. szerint a gondnokság alá helyezés módosítása és megszűntetése iránti perekben is teljes perbeli cselekvőképesség illeti meg a gondnokoltat. A </w:t>
      </w:r>
      <w:r w:rsidR="00F335F7">
        <w:t>Kúria</w:t>
      </w:r>
      <w:r>
        <w:t xml:space="preserve"> eseti döntésében rámutatott, hogy a perbeli cselekvőképesség általában a polgári jogi cselekvőképességhez igazodik, azzal az eltéréssel, hogy korlátozott perbeli cselekvőképesség nincs (Legfelsőbb Bíróság P. </w:t>
      </w:r>
      <w:proofErr w:type="spellStart"/>
      <w:r>
        <w:t>törv</w:t>
      </w:r>
      <w:proofErr w:type="spellEnd"/>
      <w:r>
        <w:t xml:space="preserve">. IV. 20 411/1991. - BH1992. 107. II.). A bíróság döntéséig tehát az alperes illetve a gondnokolt teljes perbeli cselekvőképességgel rendelkezik akkor is, ha a bíróság részére ügygondnokot rendelt. Az iratbetekintés a perbeli cselekvőképesség része, </w:t>
      </w:r>
      <w:bookmarkStart w:id="0" w:name="_GoBack"/>
      <w:bookmarkEnd w:id="0"/>
      <w:r>
        <w:t xml:space="preserve">a </w:t>
      </w:r>
      <w:r>
        <w:lastRenderedPageBreak/>
        <w:t xml:space="preserve">per jogerős lezárulta után is, tehát a gondnok engedélye az iratbetekintéshez még akkor sem szükséges, ha erre az ügycsoportra tekintettel korlátozták az ügyfél cselekvőképességét. </w:t>
      </w:r>
      <w:r>
        <w:rPr>
          <w:b/>
        </w:rPr>
        <w:t xml:space="preserve"> </w:t>
      </w:r>
    </w:p>
    <w:p w:rsidR="00683258" w:rsidRDefault="00683258" w:rsidP="00683258">
      <w:pPr>
        <w:spacing w:line="240" w:lineRule="auto"/>
        <w:jc w:val="both"/>
      </w:pPr>
      <w:r>
        <w:t>Együttműködésükért előre is köszönettel:</w:t>
      </w:r>
      <w:r>
        <w:tab/>
      </w:r>
      <w:r>
        <w:tab/>
      </w:r>
      <w:r>
        <w:tab/>
      </w:r>
      <w:r>
        <w:tab/>
      </w:r>
      <w:r>
        <w:tab/>
      </w:r>
    </w:p>
    <w:p w:rsidR="000B6A8D" w:rsidRDefault="00683258" w:rsidP="00683258">
      <w:pPr>
        <w:spacing w:line="240" w:lineRule="auto"/>
        <w:ind w:left="3540" w:firstLine="708"/>
        <w:jc w:val="both"/>
      </w:pPr>
      <w:r>
        <w:t>………………………………………………….</w:t>
      </w:r>
    </w:p>
    <w:sectPr w:rsidR="000B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58"/>
    <w:rsid w:val="000B6A8D"/>
    <w:rsid w:val="00267362"/>
    <w:rsid w:val="00305B80"/>
    <w:rsid w:val="00590949"/>
    <w:rsid w:val="00683258"/>
    <w:rsid w:val="006D43BE"/>
    <w:rsid w:val="009F43F4"/>
    <w:rsid w:val="00F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FB464-2342-49D4-A120-0FD37E8C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83258"/>
    <w:pPr>
      <w:widowControl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Ilona</dc:creator>
  <cp:lastModifiedBy>Laura Lovász</cp:lastModifiedBy>
  <cp:revision>5</cp:revision>
  <dcterms:created xsi:type="dcterms:W3CDTF">2020-05-19T11:02:00Z</dcterms:created>
  <dcterms:modified xsi:type="dcterms:W3CDTF">2020-05-21T13:07:00Z</dcterms:modified>
</cp:coreProperties>
</file>