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.Kormányhivatal </w:t>
      </w:r>
    </w:p>
    <w:p w:rsidR="00000000" w:rsidDel="00000000" w:rsidP="00000000" w:rsidRDefault="00000000" w:rsidRPr="00000000" w14:paraId="00000002">
      <w:pPr>
        <w:spacing w:line="276" w:lineRule="auto"/>
        <w:jc w:val="righ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(cím)</w:t>
      </w:r>
    </w:p>
    <w:p w:rsidR="00000000" w:rsidDel="00000000" w:rsidP="00000000" w:rsidRDefault="00000000" w:rsidRPr="00000000" w14:paraId="00000003">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útján</w:t>
      </w:r>
    </w:p>
    <w:p w:rsidR="00000000" w:rsidDel="00000000" w:rsidP="00000000" w:rsidRDefault="00000000" w:rsidRPr="00000000" w14:paraId="00000004">
      <w:pPr>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40" w:before="240"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6">
      <w:pPr>
        <w:spacing w:after="240" w:before="240" w:line="276"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Tisztelt……………</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rtl w:val="0"/>
        </w:rPr>
        <w:t xml:space="preserve">Törvényszék!</w:t>
      </w:r>
    </w:p>
    <w:p w:rsidR="00000000" w:rsidDel="00000000" w:rsidP="00000000" w:rsidRDefault="00000000" w:rsidRPr="00000000" w14:paraId="00000007">
      <w:pPr>
        <w:spacing w:after="240" w:before="24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before="24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jc w:val="righ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(Ön neve)</w:t>
      </w:r>
    </w:p>
    <w:p w:rsidR="00000000" w:rsidDel="00000000" w:rsidP="00000000" w:rsidRDefault="00000000" w:rsidRPr="00000000" w14:paraId="0000000B">
      <w:pPr>
        <w:spacing w:line="276" w:lineRule="auto"/>
        <w:jc w:val="righ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(cím)</w:t>
      </w:r>
    </w:p>
    <w:p w:rsidR="00000000" w:rsidDel="00000000" w:rsidP="00000000" w:rsidRDefault="00000000" w:rsidRPr="00000000" w14:paraId="0000000C">
      <w:pPr>
        <w:spacing w:after="200" w:line="276"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felperes </w:t>
      </w:r>
    </w:p>
    <w:p w:rsidR="00000000" w:rsidDel="00000000" w:rsidP="00000000" w:rsidRDefault="00000000" w:rsidRPr="00000000" w14:paraId="0000000D">
      <w:pPr>
        <w:spacing w:after="20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0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0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00"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keresete </w:t>
      </w:r>
    </w:p>
    <w:p w:rsidR="00000000" w:rsidDel="00000000" w:rsidP="00000000" w:rsidRDefault="00000000" w:rsidRPr="00000000" w14:paraId="00000012">
      <w:pPr>
        <w:spacing w:after="200" w:line="276"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spacing w:after="200" w:line="276"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after="200" w:line="276" w:lineRule="auto"/>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spacing w:after="200" w:line="276" w:lineRule="auto"/>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spacing w:line="276"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Kormányhivatal </w:t>
      </w:r>
    </w:p>
    <w:p w:rsidR="00000000" w:rsidDel="00000000" w:rsidP="00000000" w:rsidRDefault="00000000" w:rsidRPr="00000000" w14:paraId="00000017">
      <w:pPr>
        <w:spacing w:line="276"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righ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.cím</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19">
      <w:pPr>
        <w:spacing w:after="200" w:line="276" w:lineRule="auto"/>
        <w:ind w:left="720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alperes ellen </w:t>
      </w:r>
    </w:p>
    <w:p w:rsidR="00000000" w:rsidDel="00000000" w:rsidP="00000000" w:rsidRDefault="00000000" w:rsidRPr="00000000" w14:paraId="0000001A">
      <w:pPr>
        <w:spacing w:line="276"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righ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.számú</w:t>
      </w:r>
    </w:p>
    <w:p w:rsidR="00000000" w:rsidDel="00000000" w:rsidP="00000000" w:rsidRDefault="00000000" w:rsidRPr="00000000" w14:paraId="0000001C">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közigazgatási határozat ellen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76" w:lineRule="auto"/>
        <w:jc w:val="righ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Tisztelt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Törvényszék!</w:t>
      </w:r>
      <w:r w:rsidDel="00000000" w:rsidR="00000000" w:rsidRPr="00000000">
        <w:rPr>
          <w:rtl w:val="0"/>
        </w:rPr>
      </w:r>
    </w:p>
    <w:p w:rsidR="00000000" w:rsidDel="00000000" w:rsidP="00000000" w:rsidRDefault="00000000" w:rsidRPr="00000000" w14:paraId="00000020">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Alulírott………………….</w:t>
      </w:r>
      <w:r w:rsidDel="00000000" w:rsidR="00000000" w:rsidRPr="00000000">
        <w:rPr>
          <w:rFonts w:ascii="Times New Roman" w:cs="Times New Roman" w:eastAsia="Times New Roman" w:hAnsi="Times New Roman"/>
          <w:sz w:val="24"/>
          <w:szCs w:val="24"/>
          <w:highlight w:val="yellow"/>
          <w:rtl w:val="0"/>
        </w:rPr>
        <w:t xml:space="preserve">Ön neve (születési név:</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sz w:val="24"/>
          <w:szCs w:val="24"/>
          <w:highlight w:val="yellow"/>
          <w:rtl w:val="0"/>
        </w:rPr>
        <w:t xml:space="preserve">zül. hely és idő:</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highlight w:val="yellow"/>
          <w:rtl w:val="0"/>
        </w:rPr>
        <w:t xml:space="preserve">anyja neve: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Társadalombiztosítási Azonosító Jele: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highlight w:val="yellow"/>
          <w:rtl w:val="0"/>
        </w:rPr>
        <w:t xml:space="preserve">Adóazonosító jele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felperes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Kormányhivatal </w:t>
      </w:r>
      <w:r w:rsidDel="00000000" w:rsidR="00000000" w:rsidRPr="00000000">
        <w:rPr>
          <w:rFonts w:ascii="Times New Roman" w:cs="Times New Roman" w:eastAsia="Times New Roman" w:hAnsi="Times New Roman"/>
          <w:sz w:val="24"/>
          <w:szCs w:val="24"/>
          <w:highlight w:val="yellow"/>
          <w:rtl w:val="0"/>
        </w:rPr>
        <w:t xml:space="preserve">(cím:</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alperes </w:t>
      </w:r>
      <w:r w:rsidDel="00000000" w:rsidR="00000000" w:rsidRPr="00000000">
        <w:rPr>
          <w:rFonts w:ascii="Times New Roman" w:cs="Times New Roman" w:eastAsia="Times New Roman" w:hAnsi="Times New Roman"/>
          <w:sz w:val="24"/>
          <w:szCs w:val="24"/>
          <w:rtl w:val="0"/>
        </w:rPr>
        <w:t xml:space="preserve">ellen </w:t>
      </w:r>
    </w:p>
    <w:p w:rsidR="00000000" w:rsidDel="00000000" w:rsidP="00000000" w:rsidRDefault="00000000" w:rsidRPr="00000000" w14:paraId="0000002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.számú</w:t>
      </w:r>
      <w:r w:rsidDel="00000000" w:rsidR="00000000" w:rsidRPr="00000000">
        <w:rPr>
          <w:rFonts w:ascii="Times New Roman" w:cs="Times New Roman" w:eastAsia="Times New Roman" w:hAnsi="Times New Roman"/>
          <w:b w:val="1"/>
          <w:sz w:val="24"/>
          <w:szCs w:val="24"/>
          <w:rtl w:val="0"/>
        </w:rPr>
        <w:t xml:space="preserve"> határozata </w:t>
      </w:r>
      <w:r w:rsidDel="00000000" w:rsidR="00000000" w:rsidRPr="00000000">
        <w:rPr>
          <w:rFonts w:ascii="Times New Roman" w:cs="Times New Roman" w:eastAsia="Times New Roman" w:hAnsi="Times New Roman"/>
          <w:sz w:val="24"/>
          <w:szCs w:val="24"/>
          <w:rtl w:val="0"/>
        </w:rPr>
        <w:t xml:space="preserve">ellen</w:t>
      </w:r>
    </w:p>
    <w:p w:rsidR="00000000" w:rsidDel="00000000" w:rsidP="00000000" w:rsidRDefault="00000000" w:rsidRPr="00000000" w14:paraId="00000024">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Általános közigazgatási rendtartásról szóló 2016. CL. törvény (a továbbiakban: Ákr.) 114.§ (1) bekezdése alapján és a közigazgatási perrendtartásról szóló 2017. évi I. törvény (a továbbiakban: Kp.) 39. § alapján törvényes határidőn belül az alábbi</w:t>
      </w:r>
    </w:p>
    <w:p w:rsidR="00000000" w:rsidDel="00000000" w:rsidP="00000000" w:rsidRDefault="00000000" w:rsidRPr="00000000" w14:paraId="00000025">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keresetlevelet</w:t>
      </w:r>
      <w:r w:rsidDel="00000000" w:rsidR="00000000" w:rsidRPr="00000000">
        <w:rPr>
          <w:rtl w:val="0"/>
        </w:rPr>
      </w:r>
    </w:p>
    <w:p w:rsidR="00000000" w:rsidDel="00000000" w:rsidP="00000000" w:rsidRDefault="00000000" w:rsidRPr="00000000" w14:paraId="0000002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terjesztem elő:  </w:t>
      </w:r>
    </w:p>
    <w:p w:rsidR="00000000" w:rsidDel="00000000" w:rsidP="00000000" w:rsidRDefault="00000000" w:rsidRPr="00000000" w14:paraId="0000002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Elsődlegesen kérem a tisztelt Bíróságot, hogy az alperes határozatát (továbbiakban: Határozat)  megváltoztatni szíveskedjen, úgy, hogy a kérelemnek helyt adni szíveskedjen, ha az ügy természete ezt megengedi, a tényállás megfelelően tisztázott, a rendelkezésre álló adatok alapján a jogvita véglegesen eldönthető.</w:t>
      </w:r>
    </w:p>
    <w:p w:rsidR="00000000" w:rsidDel="00000000" w:rsidP="00000000" w:rsidRDefault="00000000" w:rsidRPr="00000000" w14:paraId="00000029">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Másodlagosan kérem a t. Bíróságot, hogy a Kp.  38.§ (1) bekezdése a) pontja alapján az alperes Határozatát helyezze hatályon kívül, és kötelezze  az alperest új eljárásra. </w:t>
      </w:r>
    </w:p>
    <w:p w:rsidR="00000000" w:rsidDel="00000000" w:rsidP="00000000" w:rsidRDefault="00000000" w:rsidRPr="00000000" w14:paraId="0000002A">
      <w:pPr>
        <w:numPr>
          <w:ilvl w:val="0"/>
          <w:numId w:val="2"/>
        </w:numPr>
        <w:spacing w:after="0" w:afterAutospacing="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 Kp. 50. § (1) bekezdése, illetve (2) bekezdés a) pontja alapján ezúto</w:t>
      </w:r>
      <w:r w:rsidDel="00000000" w:rsidR="00000000" w:rsidRPr="00000000">
        <w:rPr>
          <w:rFonts w:ascii="Times New Roman" w:cs="Times New Roman" w:eastAsia="Times New Roman" w:hAnsi="Times New Roman"/>
          <w:b w:val="1"/>
          <w:sz w:val="24"/>
          <w:szCs w:val="24"/>
          <w:rtl w:val="0"/>
        </w:rPr>
        <w:t xml:space="preserve">n azonnali jogvédelem iránti kérelmet </w:t>
      </w:r>
      <w:r w:rsidDel="00000000" w:rsidR="00000000" w:rsidRPr="00000000">
        <w:rPr>
          <w:rFonts w:ascii="Times New Roman" w:cs="Times New Roman" w:eastAsia="Times New Roman" w:hAnsi="Times New Roman"/>
          <w:b w:val="1"/>
          <w:sz w:val="24"/>
          <w:szCs w:val="24"/>
          <w:rtl w:val="0"/>
        </w:rPr>
        <w:t xml:space="preserve">terjesztek elő, amelynek keretében kérem a t. Bíróságot, hogy a kereset benyújtásának az alperesi Határozat végrehajtására vonatkozó halasztó hatályát elrendelni szíveskedjen. </w:t>
      </w:r>
    </w:p>
    <w:p w:rsidR="00000000" w:rsidDel="00000000" w:rsidP="00000000" w:rsidRDefault="00000000" w:rsidRPr="00000000" w14:paraId="0000002B">
      <w:pPr>
        <w:widowControl w:val="0"/>
        <w:numPr>
          <w:ilvl w:val="0"/>
          <w:numId w:val="2"/>
        </w:numPr>
        <w:spacing w:before="0" w:beforeAutospacing="0" w:line="240" w:lineRule="auto"/>
        <w:ind w:left="720" w:right="-4.799999999997908"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Kérem a t. Bíróságot, hogy kötelezze az alperest a bírósági eljárásban felmerülő perköltségem megtérítésére.</w:t>
      </w:r>
    </w:p>
    <w:p w:rsidR="00000000" w:rsidDel="00000000" w:rsidP="00000000" w:rsidRDefault="00000000" w:rsidRPr="00000000" w14:paraId="0000002C">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Tényállás</w:t>
      </w:r>
      <w:r w:rsidDel="00000000" w:rsidR="00000000" w:rsidRPr="00000000">
        <w:rPr>
          <w:rtl w:val="0"/>
        </w:rPr>
      </w:r>
    </w:p>
    <w:p w:rsidR="00000000" w:rsidDel="00000000" w:rsidP="00000000" w:rsidRDefault="00000000" w:rsidRPr="00000000" w14:paraId="0000002D">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(mikor? dátum)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(ellátás formája)</w:t>
      </w:r>
      <w:r w:rsidDel="00000000" w:rsidR="00000000" w:rsidRPr="00000000">
        <w:rPr>
          <w:rFonts w:ascii="Times New Roman" w:cs="Times New Roman" w:eastAsia="Times New Roman" w:hAnsi="Times New Roman"/>
          <w:sz w:val="24"/>
          <w:szCs w:val="24"/>
          <w:rtl w:val="0"/>
        </w:rPr>
        <w:t xml:space="preserve"> igényeltem a ………………………….. Kormányhivatalnál. A Kormányhivatal Határozatát ……………………</w:t>
      </w:r>
      <w:r w:rsidDel="00000000" w:rsidR="00000000" w:rsidRPr="00000000">
        <w:rPr>
          <w:rFonts w:ascii="Times New Roman" w:cs="Times New Roman" w:eastAsia="Times New Roman" w:hAnsi="Times New Roman"/>
          <w:sz w:val="24"/>
          <w:szCs w:val="24"/>
          <w:highlight w:val="yellow"/>
          <w:rtl w:val="0"/>
        </w:rPr>
        <w:t xml:space="preserve">(mikor? dátum) </w:t>
      </w:r>
      <w:r w:rsidDel="00000000" w:rsidR="00000000" w:rsidRPr="00000000">
        <w:rPr>
          <w:rFonts w:ascii="Times New Roman" w:cs="Times New Roman" w:eastAsia="Times New Roman" w:hAnsi="Times New Roman"/>
          <w:sz w:val="24"/>
          <w:szCs w:val="24"/>
          <w:rtl w:val="0"/>
        </w:rPr>
        <w:t xml:space="preserve">vettem át. A Határozat szerint nem </w:t>
      </w:r>
      <w:r w:rsidDel="00000000" w:rsidR="00000000" w:rsidRPr="00000000">
        <w:rPr>
          <w:rFonts w:ascii="Times New Roman" w:cs="Times New Roman" w:eastAsia="Times New Roman" w:hAnsi="Times New Roman"/>
          <w:sz w:val="24"/>
          <w:szCs w:val="24"/>
          <w:highlight w:val="yellow"/>
          <w:rtl w:val="0"/>
        </w:rPr>
        <w:t xml:space="preserve">vagyok jogosult/nem kaphatom meg/megszünteti/ elutasítja</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highlight w:val="yellow"/>
          <w:rtl w:val="0"/>
        </w:rPr>
        <w:t xml:space="preserve">(ellátás formája),</w:t>
      </w:r>
      <w:r w:rsidDel="00000000" w:rsidR="00000000" w:rsidRPr="00000000">
        <w:rPr>
          <w:rFonts w:ascii="Times New Roman" w:cs="Times New Roman" w:eastAsia="Times New Roman" w:hAnsi="Times New Roman"/>
          <w:sz w:val="24"/>
          <w:szCs w:val="24"/>
          <w:rtl w:val="0"/>
        </w:rPr>
        <w:t xml:space="preserve"> mert ……………………………………</w:t>
      </w:r>
    </w:p>
    <w:p w:rsidR="00000000" w:rsidDel="00000000" w:rsidP="00000000" w:rsidRDefault="00000000" w:rsidRPr="00000000" w14:paraId="0000002E">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Jogi értékelés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támadott Határozat a következők okok miatt jogsértő:</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ÁLTALÁNOS JOGSÉRTÉS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 </w:t>
      </w:r>
      <w:r w:rsidDel="00000000" w:rsidR="00000000" w:rsidRPr="00000000">
        <w:rPr>
          <w:rFonts w:ascii="Times New Roman" w:cs="Times New Roman" w:eastAsia="Times New Roman" w:hAnsi="Times New Roman"/>
          <w:b w:val="1"/>
          <w:sz w:val="24"/>
          <w:szCs w:val="24"/>
          <w:u w:val="single"/>
          <w:rtl w:val="0"/>
        </w:rPr>
        <w:t xml:space="preserve">nem tesz eleget az Ákr. 81.§ szerinti indokolási kötelezettségnek</w:t>
      </w:r>
      <w:r w:rsidDel="00000000" w:rsidR="00000000" w:rsidRPr="00000000">
        <w:rPr>
          <w:rFonts w:ascii="Times New Roman" w:cs="Times New Roman" w:eastAsia="Times New Roman" w:hAnsi="Times New Roman"/>
          <w:sz w:val="24"/>
          <w:szCs w:val="24"/>
          <w:rtl w:val="0"/>
        </w:rPr>
        <w:t xml:space="preserve">. Az Ákr. 81. § (1) bekezdése előírja, hogy: </w:t>
      </w:r>
      <w:r w:rsidDel="00000000" w:rsidR="00000000" w:rsidRPr="00000000">
        <w:rPr>
          <w:rFonts w:ascii="Times New Roman" w:cs="Times New Roman" w:eastAsia="Times New Roman" w:hAnsi="Times New Roman"/>
          <w:i w:val="1"/>
          <w:sz w:val="24"/>
          <w:szCs w:val="24"/>
          <w:rtl w:val="0"/>
        </w:rPr>
        <w:t xml:space="preserve">döntés tartalmazza az eljáró hatóság, az ügyfelek és az ügy azonosításához szükséges minden adatot a zártan kezelt és védett adatok kivételével, a rendelkező részt - a hatóság döntésével, a szakhatóság állásfoglalásával, a jogorvoslat igénybevételével kapcsolatos tájékoztatással és a felmerült eljárási költséggel -, továbbá a teljes eljárásra történő áttérés esetén az áttérés okára, a megismerhetetlenné tett zártan kezelt és védett adatokkal együtt megállapított tényállásra, a bizonyítékokra, a szakhatósági állásfoglalás indokolására, a mérlegelés és a döntés indokaira, valamint az azt megalapozó jogszabályhelyek megjelölésére is kiterjedő indokolást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alperes azonban jogsértő módon nem indokolja meg, hogy miért utasította el a kérelmemet. A Határoza</w:t>
      </w:r>
      <w:r w:rsidDel="00000000" w:rsidR="00000000" w:rsidRPr="00000000">
        <w:rPr>
          <w:rFonts w:ascii="Times New Roman" w:cs="Times New Roman" w:eastAsia="Times New Roman" w:hAnsi="Times New Roman"/>
          <w:sz w:val="24"/>
          <w:szCs w:val="24"/>
          <w:highlight w:val="yellow"/>
          <w:rtl w:val="0"/>
        </w:rPr>
        <w:t xml:space="preserve">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alperes </w:t>
      </w:r>
      <w:r w:rsidDel="00000000" w:rsidR="00000000" w:rsidRPr="00000000">
        <w:rPr>
          <w:rFonts w:ascii="Times New Roman" w:cs="Times New Roman" w:eastAsia="Times New Roman" w:hAnsi="Times New Roman"/>
          <w:b w:val="1"/>
          <w:sz w:val="24"/>
          <w:szCs w:val="24"/>
          <w:u w:val="single"/>
          <w:rtl w:val="0"/>
        </w:rPr>
        <w:t xml:space="preserve">lényeges mértékben megsértette az Ákr. 62. §-a szerinti tényállás tisztázási, illetve a bizonyítékok okszerű mérlegelésére vonatkozó kötelezettségé</w:t>
      </w:r>
      <w:r w:rsidDel="00000000" w:rsidR="00000000" w:rsidRPr="00000000">
        <w:rPr>
          <w:rFonts w:ascii="Times New Roman" w:cs="Times New Roman" w:eastAsia="Times New Roman" w:hAnsi="Times New Roman"/>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highlight w:val="yellow"/>
          <w:rtl w:val="0"/>
        </w:rPr>
        <w:t xml:space="preserve">……. szakértői vélemény (stb.)</w:t>
      </w:r>
      <w:r w:rsidDel="00000000" w:rsidR="00000000" w:rsidRPr="00000000">
        <w:rPr>
          <w:rFonts w:ascii="Times New Roman" w:cs="Times New Roman" w:eastAsia="Times New Roman" w:hAnsi="Times New Roman"/>
          <w:sz w:val="24"/>
          <w:szCs w:val="24"/>
          <w:rtl w:val="0"/>
        </w:rPr>
        <w:t xml:space="preserve"> nem megfelelő, mert</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Az alperes nem vette figyelembe, hog</w:t>
      </w:r>
      <w:r w:rsidDel="00000000" w:rsidR="00000000" w:rsidRPr="00000000">
        <w:rPr>
          <w:rFonts w:ascii="Times New Roman" w:cs="Times New Roman" w:eastAsia="Times New Roman" w:hAnsi="Times New Roman"/>
          <w:sz w:val="24"/>
          <w:szCs w:val="24"/>
          <w:highlight w:val="yellow"/>
          <w:rtl w:val="0"/>
        </w:rPr>
        <w:t xml:space="preserve">y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ADOTT ELLÁTÁSI FORMA SZERINTI JOGSÉRTÉS</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alperes jogsértő Határozatot hozott, mert </w:t>
      </w:r>
      <w:r w:rsidDel="00000000" w:rsidR="00000000" w:rsidRPr="00000000">
        <w:rPr>
          <w:rFonts w:ascii="Times New Roman" w:cs="Times New Roman" w:eastAsia="Times New Roman" w:hAnsi="Times New Roman"/>
          <w:b w:val="1"/>
          <w:sz w:val="24"/>
          <w:szCs w:val="24"/>
          <w:rtl w:val="0"/>
        </w:rPr>
        <w:t xml:space="preserve">a törvény szerinti jogosultsági feltételek teljesülnek, de mégis elutasította/vagy megszüntette</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highlight w:val="yellow"/>
          <w:rtl w:val="0"/>
        </w:rPr>
        <w:t xml:space="preserve">(ellátás formája) </w:t>
      </w:r>
      <w:r w:rsidDel="00000000" w:rsidR="00000000" w:rsidRPr="00000000">
        <w:rPr>
          <w:rFonts w:ascii="Times New Roman" w:cs="Times New Roman" w:eastAsia="Times New Roman" w:hAnsi="Times New Roman"/>
          <w:sz w:val="24"/>
          <w:szCs w:val="24"/>
          <w:rtl w:val="0"/>
        </w:rPr>
        <w:t xml:space="preserve">iránti kérelmemet. </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 nem megfelelő, mert</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ROKKANTSÁGI ELLÁTÁS</w:t>
      </w:r>
      <w:r w:rsidDel="00000000" w:rsidR="00000000" w:rsidRPr="00000000">
        <w:rPr>
          <w:rFonts w:ascii="Times New Roman" w:cs="Times New Roman" w:eastAsia="Times New Roman" w:hAnsi="Times New Roman"/>
          <w:sz w:val="24"/>
          <w:szCs w:val="24"/>
          <w:rtl w:val="0"/>
        </w:rPr>
        <w:t xml:space="preserve"> (2011. évi CXCI. törvény a megváltozott munkaképességű személyek ellátásairól és egyes törvények módosításáról) Mmtv.</w:t>
      </w:r>
    </w:p>
    <w:p w:rsidR="00000000" w:rsidDel="00000000" w:rsidP="00000000" w:rsidRDefault="00000000" w:rsidRPr="00000000" w14:paraId="00000040">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5. § (1) </w:t>
      </w:r>
      <w:r w:rsidDel="00000000" w:rsidR="00000000" w:rsidRPr="00000000">
        <w:rPr>
          <w:rFonts w:ascii="Times New Roman" w:cs="Times New Roman" w:eastAsia="Times New Roman" w:hAnsi="Times New Roman"/>
          <w:sz w:val="24"/>
          <w:szCs w:val="24"/>
          <w:u w:val="single"/>
          <w:rtl w:val="0"/>
        </w:rPr>
        <w:t xml:space="preserve">A megváltozott munkaképességű személy rokkantsági ellátásra jogosult, ha a rehabilitációja nem javasolt.</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Rokkantsági ellátást kell megállapítani annak a megváltozott munkaképességű személynek is,</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akinek a foglalkoztathatósága rehabilitációval helyreállítható, vagy</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aki tartós foglalkozási rehabilitációt igényel</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és a kérelem benyújtásának, vagy a felülvizsgálat időpontjában az öregségi nyugdíjkorhatár betöltéséig hátralevő időtartam az 5 évet nem haladja meg.</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(1) A rokkantsági ellátás a jogosultsági feltételek bekövetkezésének napjától, de legkorábban a kérelem benyújtásának napját megelőző hatodik hónap első napjától állapítható meg.</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Amennyiben a rokkantsági ellátásra jogosult azon a napon, amelytől az (1) bekezdésben foglaltak alapján a rokkantsági ellátás megállapításra kerülne rendszeres pénzellátásban részesül, az ellátás a rendszeres pénzellátás megszüntetésének napját követő naptól állapítható meg.</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12. § *  (1) * </w:t>
      </w:r>
      <w:r w:rsidDel="00000000" w:rsidR="00000000" w:rsidRPr="00000000">
        <w:rPr>
          <w:rFonts w:ascii="Times New Roman" w:cs="Times New Roman" w:eastAsia="Times New Roman" w:hAnsi="Times New Roman"/>
          <w:sz w:val="24"/>
          <w:szCs w:val="24"/>
          <w:u w:val="single"/>
          <w:rtl w:val="0"/>
        </w:rPr>
        <w:t xml:space="preserve"> A rokkantsági ellátás havi összege</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3. § (2) bekezdés b) pont ba) alpontja és az 5. § (2) bekezdés a) pontja szerinti esetben a havi átlagjövedelem 40 százaléka, de legalább az alapösszeg 30 százaléka és legfeljebb az alapösszeg 45 százaléka,</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3. § (2) bekezdés b) pont bb) alpontja és az 5. § (2) bekezdés b) pontja szerinti esetben a havi átlagjövedelem 60 százaléka, de legalább az alapösszeg 45 százaléka és legfeljebb az alapösszeg 150 százaléka,</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3. § (2) bekezdés b) pont bc) alpontja szerinti esetben a havi átlagjövedelem 65 százaléka, de legalább az alapösszeg 50 százaléka és legfeljebb az alapösszeg 150 százaléka,</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3. § (2) bekezdés b) pont bd) alpontja szerinti esetben a havi átlagjövedelem 70 százaléka, de legalább az alapösszeg 55 százaléka és legfeljebb az alapösszeg 150 százaléka.</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Ha a rokkantsági ellátásban részesülő személy havi átlagjövedelemmel nem rendelkezik, a rokkantsági ellátás havi összege</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3. § (2) bekezdés b) pont ba) alpontja és az 5. § (2) bekezdés a) pontja szerinti esetben az alapösszeg 30 százaléka,</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3. § (2) bekezdés b) pont bb) alpontja és az 5. § (2) bekezdés b) pontja szerinti esetben az alapösszeg 45 százaléka,</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3. § (2) bekezdés b) pont bc) alpontja szerinti esetben az alapösszeg 50 százaléka,</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3. § (2) bekezdés b) pont bd) alpontja szerinti esetben az alapösszeg 55 százaléka.</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 rokkantsági ellátást a Tny. 62. §-ában meghatározott szabályok szerint, a nyugdíjemeléssel megegyező arányban emelni kell.</w:t>
      </w:r>
    </w:p>
    <w:p w:rsidR="00000000" w:rsidDel="00000000" w:rsidP="00000000" w:rsidRDefault="00000000" w:rsidRPr="00000000" w14:paraId="00000054">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13. § (1) *  A rokkantsági ellátás megszűnik</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az ellátott halála esetén a halál bekövetkezését követő hónap első napjától,</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az öregségi nyugdíj megállapításának kezdő napját megelőző nappal.</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rokkantsági ellátást meg kell szüntetni, ha az ellátásban részesülő</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kérte,</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más rendszeres pénzellátásban részesül, ide nem értve a táppénzt, baleseti táppénzt, csecsemőgondozási díjat, gyermekgondozási díjat és az örökbefogadói díjat,</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egészségi állapotában olyan tartós javulás következett be, amely alapján a jogosultsági feltételek már nem állnak fenn,</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foglalkoztatására a foglalkoztatásra irányuló jogviszony létesítéséhez szükséges jognyilatkozat hiányában került sor,</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az értesítési kötelezettségét neki felróható okból nem teljesíti, vagy</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 felülvizsgálat során neki felróható okból nem működik együtt.</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REHABILITÁCIÓS ELLÁTÁS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2011. évi CXCI. törvény a megváltozott munkaképességű személyek ellátásairól és egyes törvények módosításáról) Mmtv.</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(1) A megváltozott munkaképességű személyek ellátásai a rehabilitációs hatóság komplex minősítése keretében megállapított rehabilitációs javaslattól függően:</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rehabilitációs ellátás, vagy</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rokkantsági ellátás.</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rehabilitációs hatóság a komplex minősítés során megállapítja, hogy a megváltozott munkaképességű személy</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rehabilitálható, ezen belül</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 foglalkoztathatósága rehabilitációval helyreállítható, vagy</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tartós foglalkozási rehabilitációt igényel;</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rehabilitációja nem javasolt, ezen belül</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 egészségi állapota alapján foglalkoztathatósága rehabilitációval helyreállítható, azonban a komplex minősítés szakmai szabályairól szóló rendeletben meghatározott egyéb körülményei miatt foglalkozási rehabilitációja nem javasolt,</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 egészségi állapota alapján tartós foglalkozási rehabilitációt igényel, azonban a komplex minősítés szakmai szabályairól szóló rendeletben meghatározott egyéb körülményei miatt foglalkozási rehabilitációja nem javasolt,</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 kizárólag folyamatos támogatással foglalkoztatható, vagy</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bd) egészségkárosodása jelentős és önellátásra nem vagy csak segítséggel képes.</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A rehabilitálható megváltozott munkaképességű személy rehabilitációs ellátásra jogosult.</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(1) A rehabilitációs ellátás keretében a megváltozott munkaképességű személy</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rehabilitáció sikeres megvalósulása érdekében szükséges szolgáltatásokra (a továbbiakban: rehabilitációs szolgáltatás), valamint</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pénzbeli ellátásra (a továbbiakban: rehabilitációs pénzbeli ellátás) jogosult.</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ROKKANTSÁGI JÁRADÉK</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83/1987. évi (XII. 27.) MT rendelet)</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(1) </w:t>
      </w:r>
      <w:r w:rsidDel="00000000" w:rsidR="00000000" w:rsidRPr="00000000">
        <w:rPr>
          <w:rFonts w:ascii="Times New Roman" w:cs="Times New Roman" w:eastAsia="Times New Roman" w:hAnsi="Times New Roman"/>
          <w:sz w:val="24"/>
          <w:szCs w:val="24"/>
          <w:u w:val="single"/>
          <w:rtl w:val="0"/>
        </w:rPr>
        <w:t xml:space="preserve">Rokkantsági járadékra jogosult </w:t>
      </w:r>
      <w:r w:rsidDel="00000000" w:rsidR="00000000" w:rsidRPr="00000000">
        <w:rPr>
          <w:rFonts w:ascii="Times New Roman" w:cs="Times New Roman" w:eastAsia="Times New Roman" w:hAnsi="Times New Roman"/>
          <w:sz w:val="24"/>
          <w:szCs w:val="24"/>
          <w:rtl w:val="0"/>
        </w:rPr>
        <w:t xml:space="preserve">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rokkantsági járadékot az (1) bekezdésben említett feltételek megléte esetén legkorábban annak a hónapnak az első napjától lehet megállapítani, amelyben az igénylő a 18. életévét betöltötte.</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 az igénylő egészségkárosodásának mértékét az orvosszakértői szerv hatályos határozata, szakhatósági állásfoglalása vagy szakvéleménye nem állapítja meg, az általános hatáskörű nyugdíj-megállapító szerv az egészségkárosodás mértékének szakkérdését is vizsgálja.</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FOGYATÉKOSSÁGI TÁMOGATÁS</w:t>
      </w:r>
      <w:r w:rsidDel="00000000" w:rsidR="00000000" w:rsidRPr="00000000">
        <w:rPr>
          <w:rFonts w:ascii="Times New Roman" w:cs="Times New Roman" w:eastAsia="Times New Roman" w:hAnsi="Times New Roman"/>
          <w:sz w:val="24"/>
          <w:szCs w:val="24"/>
          <w:rtl w:val="0"/>
        </w:rPr>
        <w:t xml:space="preserve"> (1998. évi XXVI. törvény a fogyatékos személyek jogairól és esélyegyenlőségük biztosításáról Fot.)</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 *  (1) </w:t>
      </w:r>
      <w:r w:rsidDel="00000000" w:rsidR="00000000" w:rsidRPr="00000000">
        <w:rPr>
          <w:rFonts w:ascii="Times New Roman" w:cs="Times New Roman" w:eastAsia="Times New Roman" w:hAnsi="Times New Roman"/>
          <w:sz w:val="24"/>
          <w:szCs w:val="24"/>
          <w:u w:val="single"/>
          <w:rtl w:val="0"/>
        </w:rPr>
        <w:t xml:space="preserve">Fogyatékossági támogatásra a</w:t>
      </w:r>
      <w:r w:rsidDel="00000000" w:rsidR="00000000" w:rsidRPr="00000000">
        <w:rPr>
          <w:rFonts w:ascii="Times New Roman" w:cs="Times New Roman" w:eastAsia="Times New Roman" w:hAnsi="Times New Roman"/>
          <w:sz w:val="24"/>
          <w:szCs w:val="24"/>
          <w:rtl w:val="0"/>
        </w:rPr>
        <w:t xml:space="preserve">z a 18. életévét betöltött súlyosan fogyatékos, az ellátás igénylésének időpontjában Magyarországon élő magyar állampolgár, letelepedett, valamint bevándorolt jogállású személy, továbbá a magyar hatóság által menekültként, illetve hontalanként elismert </w:t>
      </w:r>
      <w:r w:rsidDel="00000000" w:rsidR="00000000" w:rsidRPr="00000000">
        <w:rPr>
          <w:rFonts w:ascii="Times New Roman" w:cs="Times New Roman" w:eastAsia="Times New Roman" w:hAnsi="Times New Roman"/>
          <w:sz w:val="24"/>
          <w:szCs w:val="24"/>
          <w:u w:val="single"/>
          <w:rtl w:val="0"/>
        </w:rPr>
        <w:t xml:space="preserve">személy jogosult, akine</w:t>
      </w:r>
      <w:r w:rsidDel="00000000" w:rsidR="00000000" w:rsidRPr="00000000">
        <w:rPr>
          <w:rFonts w:ascii="Times New Roman" w:cs="Times New Roman" w:eastAsia="Times New Roman" w:hAnsi="Times New Roman"/>
          <w:sz w:val="24"/>
          <w:szCs w:val="24"/>
          <w:rtl w:val="0"/>
        </w:rPr>
        <w:t xml:space="preserve">k * </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segédeszközzel vagy műtéti úton nem korrigálható módon látóképessége teljesen hiányzik vagy aliglátóként minimális látásmaradvánnyal rendelkezik és ezért kizárólag tapintó-halló életmód folytatására képes (látási fogyatékos), * </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hallásvesztesége olyan mértékű, hogy a beszédnek hallás útján történő megértésére segédeszközzel sem képes, feltéve, hogy</w:t>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 halláskárosodása 25. életévének betöltését megelőzően következett be, vagy</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 halláskárosodása mellett a hangzó beszéd érthető ejtése elmarad (hallási fogyatékos),</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értelmi akadályozottsága genetikai, illetőleg magzati károsodás vagy szülési trauma következtében, továbbá tizennegyedik életévét megelőzően bekövetkező súlyos betegség miatt középsúlyos vagy annál nagyobb mértékű (értelmi fogyatékos),</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  állapota a személyiség egészét érintő fejlődés átható zavara miatt, az autonómia-tesztek alapján súlyosnak vagy középsúlyosnak minősíthető,</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  helyváltoztatása a jogszabályban meghatározott segédeszköz állandó és szükségszerű használatát igényli, vagy a jogszabály szerinti mozgáskorlátozottsága miatt állapota segédeszközzel eredményesen nem befolyásolható (mozgásában fogyatékos),</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  az a)-e) és h) pontban meghatározott súlyos fogyatékosságok közül legalább két fogyatékossága van (halmozottan fogyatékos),</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  hallásvesztesége olyan mértékű, hogy a beszédnek hallás útján történő megértésére segédeszközzel sem képes és az a), c)-e) és h) pontok valamelyikében megjelölt egyéb fogyatékossága is van (halmozottan fogyatékos),</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  állapota kromoszóma-rendellenesség miatt súlyosnak vagy középsúlyosnak minősíthető,</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és állapota tartósan vagy véglegesen fennáll, továbbá önálló életvitelre nem képes vagy mások állandó segítségére szorul.</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(3) A súlyosan fogyatékos személy nem jogosult fogyatékossági támogatásra ha</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vakok személyi járadékában részesül,</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magasabb összegű családi pótlékban részesül, vagy</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utána magasabb összegű családi pótlékot folyósítanak.</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(4) </w:t>
      </w:r>
      <w:r w:rsidDel="00000000" w:rsidR="00000000" w:rsidRPr="00000000">
        <w:rPr>
          <w:rFonts w:ascii="Times New Roman" w:cs="Times New Roman" w:eastAsia="Times New Roman" w:hAnsi="Times New Roman"/>
          <w:sz w:val="24"/>
          <w:szCs w:val="24"/>
          <w:u w:val="single"/>
          <w:rtl w:val="0"/>
        </w:rPr>
        <w:t xml:space="preserve">Megszűnik a fogyatékossági támogatásra való jogosultság, </w:t>
      </w:r>
      <w:r w:rsidDel="00000000" w:rsidR="00000000" w:rsidRPr="00000000">
        <w:rPr>
          <w:rFonts w:ascii="Times New Roman" w:cs="Times New Roman" w:eastAsia="Times New Roman" w:hAnsi="Times New Roman"/>
          <w:sz w:val="24"/>
          <w:szCs w:val="24"/>
          <w:rtl w:val="0"/>
        </w:rPr>
        <w:t xml:space="preserve">ha</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súlyosan fogyatékos állapot nem áll fenn;</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fogyatékos személy a felülvizsgálaton nem jelenik meg és a távolmaradását nem igazolja;</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AKTÍV KORÚAK ELLÁTÁSA </w:t>
      </w:r>
      <w:r w:rsidDel="00000000" w:rsidR="00000000" w:rsidRPr="00000000">
        <w:rPr>
          <w:rFonts w:ascii="Times New Roman" w:cs="Times New Roman" w:eastAsia="Times New Roman" w:hAnsi="Times New Roman"/>
          <w:sz w:val="24"/>
          <w:szCs w:val="24"/>
          <w:rtl w:val="0"/>
        </w:rPr>
        <w:t xml:space="preserve">(1993. évi III. törvény a szociális igazgatásról és szociális ellátásokról Szoctv.)</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 *  (1) * </w:t>
      </w:r>
      <w:r w:rsidDel="00000000" w:rsidR="00000000" w:rsidRPr="00000000">
        <w:rPr>
          <w:rFonts w:ascii="Times New Roman" w:cs="Times New Roman" w:eastAsia="Times New Roman" w:hAnsi="Times New Roman"/>
          <w:sz w:val="24"/>
          <w:szCs w:val="24"/>
          <w:u w:val="single"/>
          <w:rtl w:val="0"/>
        </w:rPr>
        <w:t xml:space="preserve"> Az aktív korúak ellátása a </w:t>
      </w:r>
      <w:r w:rsidDel="00000000" w:rsidR="00000000" w:rsidRPr="00000000">
        <w:rPr>
          <w:rFonts w:ascii="Times New Roman" w:cs="Times New Roman" w:eastAsia="Times New Roman" w:hAnsi="Times New Roman"/>
          <w:sz w:val="24"/>
          <w:szCs w:val="24"/>
          <w:rtl w:val="0"/>
        </w:rPr>
        <w:t xml:space="preserve">hátrányos munkaerő-piaci helyzetű aktív korú személyek és családjuk részére nyújtott ellátás. A járási hivatal aktív korúak ellátására való </w:t>
      </w:r>
      <w:r w:rsidDel="00000000" w:rsidR="00000000" w:rsidRPr="00000000">
        <w:rPr>
          <w:rFonts w:ascii="Times New Roman" w:cs="Times New Roman" w:eastAsia="Times New Roman" w:hAnsi="Times New Roman"/>
          <w:sz w:val="24"/>
          <w:szCs w:val="24"/>
          <w:u w:val="single"/>
          <w:rtl w:val="0"/>
        </w:rPr>
        <w:t xml:space="preserve">jogosultságot állapít meg annak az aktív korú személynek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aki munkaképességét legalább 67%-ban elvesztette, aki legalább 50%-os mértékű egészségkárosodást szenvedett, vagy akinek az egészségi állapota a rehabilitációs hatóság komplex minősítése alapján nem haladja meg az 50%-os mértéket, vagy</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aki vakok személyi járadékában részesül, vagy</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aki fogyatékossági támogatásban részesül [az a)-c) pont szerinti személy a továbbiakban együtt: egészségkárosodott személy], vagy</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  akinek esetében a munkanélküli-járadék, álláskeresési járadék, álláskeresési segély, vállalkozói járadék (a továbbiakban együtt: álláskeresési ellátás) folyósítási időtartama lejárt, vagy</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  akinek esetében az álláskeresési ellátás folyósítását keresőtevékenység folytatása miatt a folyósítási idő lejártát megelőzően szüntették meg, és a keresőtevékenységet követően az Flt. alapján álláskeresési ellátásra nem szerez jogosultságot, vagy</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  aki az aktív korúak ellátása iránti kérelem benyújtását megelőző két évben az állami foglalkoztatási szervvel vagy a rehabilitációs hatósággal legalább egy év időtartamig együttműködött, vagy</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  akinek esetében a gyermekek otthongondozási díja, az ápolási díj, a Cst. szerinti gyermekgondozási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Tny. 52. §-ának (3) bekezdése szerinti okból szűnt meg, és közvetlenül a kérelem benyújtását megelőzően az állami foglalkoztatási szervvel vagy a rehabilitációs hatósággal legalább három hónapig együttműködött,</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feltéve, hogy saját maga és családjának megélhetése más módon nem biztosított, és keresőtevékenységet nem folytat. * </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 *  Az aktív korúak ellátása tekintetében - ha e törvény eltérően nem rendelkezik - nem minősül keresőtevékenységnek, ha a kérelmező, illetve a jogosult közfoglalkoztatásban, egyszerűsített foglalkoztatásban vesz részt vagy háztartási munkát végez.</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 *  Az (1) bekezdés a) pontja szerinti esetben az egészségkárosodott személy egészségkárosodásának mértékét, az egészségkárosodás felülvizsgálatának szükségességét, valamint a felülvizsgálat szükségessége esetén annak időpontját az eljáró hatóság szakkérdésként megvizsgálja.</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Az (1) bekezdés alkalmazásában akkor nem biztosított a megélhetés, ha a családnak az egy fogyasztási egységre jutó havi jövedelme nem haladja meg az öregségi nyugdíj mindenkori legkisebb összegének 90%-át és vagyona nincs. Az aktív korúak ellátása tekintetében fogyasztási egység a családtagoknak a családon belüli fogyasztási szerkezetet kifejező arányszáma, ahol</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az első nagykorú családtag arányszáma 1,0, azzal, hogy a gyermekét egyedülállóként nevelő szülő arányszáma 0,2-vel növekszik,</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házas- vagy élettárs arányszáma 0,9,</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az első és második gyermek arányszáma gyermekenként 0,8,</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minden további gyermek arányszáma gyermekenként 0,7,</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 fogyatékos gyermek arányszáma 1,0, azzal, hogy a fogyatékos gyermeket a c) és d) pont alkalmazásánál figyelmen kívül kell hagyni, továbbá ahol</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az a) és b) pontok szerinti arányszám 0,2-vel növekszik, ha a személy fogyatékossági támogatásban részesül.</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(3) Az (1) bekezdés f) és g) pontja szerinti előzetes együttműködés időtartamának számításánál az aktív korúak ellátásának megállapítására irányuló kérelmet benyújtó személy által ezen időtartam alatt folytatott keresőtevékenység időtartamát is figyelembe kell venni.</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33.§ (4) </w:t>
      </w:r>
      <w:r w:rsidDel="00000000" w:rsidR="00000000" w:rsidRPr="00000000">
        <w:rPr>
          <w:rFonts w:ascii="Times New Roman" w:cs="Times New Roman" w:eastAsia="Times New Roman" w:hAnsi="Times New Roman"/>
          <w:sz w:val="24"/>
          <w:szCs w:val="24"/>
          <w:u w:val="single"/>
          <w:rtl w:val="0"/>
        </w:rPr>
        <w:t xml:space="preserve">Az aktív korúak ellátására való jogosultság</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az (1) bekezdés d) pontjában foglalt esetben az Flt. alapján folyósított álláskeresési ellátás időtartamának kimerítésétől,</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az (1) bekezdés e) pontjában foglalt esetben a keresőtevékenység megszűnésétől,</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az (1) bekezdés g) pontja szerinti rendszeres pénzellátás folyósításának megszűnésétől</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számított tizenkettő hónapon belül benyújtott kérelem alapján állapítható meg.</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(4a) *  Amennyiben az aktív korúak ellátására való jogosultságot az Flt. szerinti álláskeresési ellátás kimerítésétől számított 30 napon belül benyújtott kérelem alapján állapítják meg, az ellátásra való jogosultság kezdő napja az álláskeresési ellátás kimerítését követő nap.</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(5) Aktív korúak ellátására egy családban egyidejűleg - a (6) bekezdésben meghatározott kivétellel - csak egy személy jogosult.</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(6) Egy családban egyidejűleg két személy abban az esetben jogosult az aktív korúak ellátására, ha az egyik személy a foglalkoztatást helyettesítő támogatás, míg a másik személy az egészségkárosodási és gyermekfelügyeleti támogatás feltételeinek felel meg.</w:t>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ÁPOLÁSI DÍJ</w:t>
      </w:r>
      <w:r w:rsidDel="00000000" w:rsidR="00000000" w:rsidRPr="00000000">
        <w:rPr>
          <w:rFonts w:ascii="Times New Roman" w:cs="Times New Roman" w:eastAsia="Times New Roman" w:hAnsi="Times New Roman"/>
          <w:sz w:val="24"/>
          <w:szCs w:val="24"/>
          <w:rtl w:val="0"/>
        </w:rPr>
        <w:t xml:space="preserve"> (1993. évi III. törvény a szociális igazgatásról és szociális ellátásokról Szoctv.)</w:t>
      </w:r>
    </w:p>
    <w:p w:rsidR="00000000" w:rsidDel="00000000" w:rsidP="00000000" w:rsidRDefault="00000000" w:rsidRPr="00000000" w14:paraId="000000B2">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40. §</w:t>
      </w:r>
      <w:r w:rsidDel="00000000" w:rsidR="00000000" w:rsidRPr="00000000">
        <w:rPr>
          <w:rFonts w:ascii="Times New Roman" w:cs="Times New Roman" w:eastAsia="Times New Roman" w:hAnsi="Times New Roman"/>
          <w:sz w:val="24"/>
          <w:szCs w:val="24"/>
          <w:u w:val="single"/>
          <w:rtl w:val="0"/>
        </w:rPr>
        <w:t xml:space="preserve"> Az ápolási díj a tartósan gondozásra szoruló személy otthoni ápolását, gondozását ellátó nagykorú hozzátartozó részére biztosított anyagi hozzájárulás.</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 (1) Ápolási díjra jogosult a hozzátartozó [Ptk. 8:1. § (1) bekezdés 2. pont], továbbá az (1a) és (1b) bekezdésben meghatározott személy, ha</w:t>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állandó és tartós ápolásra, gondozásra szoruló</w:t>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 súlyosan fogyatékos, vagy</w:t>
      </w:r>
    </w:p>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tartósan beteg 18 év alatti személy otthoni gondozását, ápolását végzi, és</w:t>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az a) pont szerinti ápolt személyre tekintettel a gyermekek otthongondozási díjára való jogosultsága neki vagy hozzátartozójának nem áll fenn.</w:t>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 Az ápolási díjra való jogosultság megállapítása szempontjából hozzátartozónak kell tekinteni azt is, aki</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elhunyt házastársa egyeneságbeli rokonának vagy testvérének, vagy</w:t>
      </w:r>
    </w:p>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kérelem benyújtását megelőző 10 éven belül összesen legalább 3 évig nevelőszülőként háztartásában ellátott, a kérelem benyújtásakor utógondozói ellátásban nem részesülő, és vele egy háztartásban élő, nagykorúvá vált személynek</w:t>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gondozását, ápolását végzi.</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 Az (1a) bekezdés b) pontja alkalmazásában nevelőszülőnek minősül az ott meghatározott személyre tekintettel</w:t>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nevelőszülői foglalkoztatási jogviszonyban álló, illetve</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2014. január 1-je előtt nevelőszülői vagy hivatásos nevelőszülői jogviszonyban állt</w:t>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személy.</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Az ápolást végző személy számára egyidejűleg csak egy ápolási díjra való jogosultság állapítható meg, továbbá egy ápolt személyre tekintettel csak egy ápolást végző személy számára állapítható meg ápolási díj.</w:t>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Az (1) bekezdés alkalmazása során</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súlyosan fogyatékos személy az, akinek</w:t>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 segédeszközzel vagy műtéti úton nem korrigálható módon látóképessége teljesen hiányzik, vagy aliglátóként minimális látásmaradvánnyal rendelkezik, és ezért kizárólag tapintó - halló - életmód folytatására képes,</w:t>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hallásvesztesége olyan mértékű, hogy a beszédnek hallás útján történő megértésére és spontán elsajátítására segédeszközzel sem képes és halláskárosodása miatt a hangzó beszéd érthető ejtése elmarad,</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 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(pervazív) fejlődési zavarban szenved, és az autonómiai tesztek alapján állapota súlyosnak vagy középsúlyosnak minősíthető (BNO szerinti besorolása: F84.0-F84.9),</w:t>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tartósan beteg az a személy, aki egészségi állapotára figyelemmel előreláthatóan három hónapnál hosszabb időtartamban ápolásra, gondozásra szorul, és</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állandó és tartós ápolásra, gondozásra szorul az a személy, akiről a pénzbeli és természetbeni szociális ellátások igénylésének és megállapításának, valamint folyósításának részletes szabályairól szóló kormányrendeletben meghatározott feltételeknek megfelelő szakértő szakvéleménye ezt megállapítja.</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járási hivatal a (3) bekezdés c) pontjában foglalt feltételek fennállásának megállapítása céljából - ha a szükséges szakértelemmel nem rendelkezik - a pénzbeli és természetbeni szociális ellátások igénylésének és megállapításának, valamint folyósításának részletes szabályairól szóló kormányrendeletben meghatározott feltételeknek megfelelő szakértőt rendel ki. A szakvéleményben meg kell jelölni annak hatályát.</w:t>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(4a) Nem szükséges szakértő kirendelése, ha rendelkezésre áll az ápolási díj megállapítására irányuló eljárás megindításának időpontjától számított legalább további egy évig hatályos, gyermekek otthongondozási díja vagy 2019. január 1-jét követően ápolási díj megállapítása iránt indított eljárásban kiállított szakvélemény.</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42. § (1) *</w:t>
      </w:r>
      <w:r w:rsidDel="00000000" w:rsidR="00000000" w:rsidRPr="00000000">
        <w:rPr>
          <w:rFonts w:ascii="Times New Roman" w:cs="Times New Roman" w:eastAsia="Times New Roman" w:hAnsi="Times New Roman"/>
          <w:sz w:val="24"/>
          <w:szCs w:val="24"/>
          <w:u w:val="single"/>
          <w:rtl w:val="0"/>
        </w:rPr>
        <w:t xml:space="preserve">Nem jogosult ápolási díjra a hozzátartozó, ha</w:t>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az ápolt személy két hónapot meghaladóan fekvőbeteg-gyógyintézeti, valamint nappali ellátást nyújtó vagy bentlakásos szociális intézményi ellátásban, óvodai elhelyezésben vagy gyermekvédelmi szakellátást nyújtó bentlakásos intézményi elhelyezésben részesül, illetve köznevelési intézmény tanulója vagy felsőoktatási intézmény nappali képzésben részt vevő hallgatója, kivéve, ha</w:t>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 *  a köznevelési intézményben eltöltött idő a köznevelési intézményben, illetve a szakképző intézményben való kötelező tartózkodásra meghatározott időtartamot nem haladja meg,</w:t>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az óvoda vagy a nappali ellátást nyújtó szociális intézmény igénybevételének, illetve a felsőoktatási intézmény látogatási kötelezettségének időtartama átlagosan a napi 5 órát nem haladja meg,</w:t>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 a köznevelési, illetve a felsőoktatási intézmény látogatása, vagy a nappali ellátást nyújtó szociális intézmény igénybevétele csak az ápolást végző személy rendszeres közreműködésével valósítható meg,</w:t>
      </w:r>
    </w:p>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 a tartós ápolást végzők időskori támogatása kivételével - rendszeres pénzellátásban részesül, és annak összege meghaladja az ápolási díj összegét, ide nem értve a (4) bekezdés szerinti esetet, valamint azt a táppénzt, amelyet az ápolási díj folyósításának időtartama alatt végzett keresőtevékenységéből adódó biztosítási jogviszony alapján - keresőképtelenné válása esetén - folyósítanak,</w:t>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szakiskola, középiskola nappali rendszerű képzésének tanulója, illetve felsőoktatási intézmény nappali képzésben részt vevő hallgatója,</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keresőtevékenységet folytat és munkaideje - az otthon történő munkavégzés kivételével - a napi 4 órát meghaladja.</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 A 41. § (1a) bekezdés b) pontja alapján a jogosultság nem állapítható meg, ha a nevelőszülő nevelőszülői foglalkoztatási, hivatásos nevelőszülői vagy nevelőszülői jogviszonya a működtető azonnali hatályú felmondása vagy a Gyvt. 2013. december 31-én hatályos 66/E. § (3) bekezdése alapján szűnt meg.</w:t>
      </w:r>
    </w:p>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  A 41. § (1a) bekezdés b) pontja alkalmazásában a nevelőszülői foglalkoztatási jogviszonyt otthon történő munkavégzésnek kell tekinteni.</w:t>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Az ápolási díjra való jogosultságot meg kell szüntetni</w:t>
      </w:r>
      <w:r w:rsidDel="00000000" w:rsidR="00000000" w:rsidRPr="00000000">
        <w:rPr>
          <w:rFonts w:ascii="Times New Roman" w:cs="Times New Roman" w:eastAsia="Times New Roman" w:hAnsi="Times New Roman"/>
          <w:sz w:val="24"/>
          <w:szCs w:val="24"/>
          <w:rtl w:val="0"/>
        </w:rPr>
        <w:t xml:space="preserve">, ha</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az ápolt személy állapota az állandó ápolást már nem teszi szükségessé,</w:t>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az ápolást végző személy a kötelezettségét nem teljesíti,</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az ápolt személy meghal,</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az ápolást végző vagy az ápolt személy tartózkodási joga megszűnt vagy tartózkodási jogának gyakorlásával felhagyott,</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az (1) vagy az (1a) bekezdésben megjelölt jogosultságot kizáró körülmény következik be,</w:t>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azt az ápolást végző személy kérte,</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az ápolást végző személy az ápolási díjra való jogosultság feltételeinek felülvizsgálatára irányuló, a 25. § (4)-(6) bekezdése szerinti eljárást akadályozza,</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 gyámhatóság elrendeli az ápolt személy utógondozói ellátását.</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GYERMEKEK OTTHONGONDOZÁSI DÍJA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(1993. évi III. törvény a szociális igazgatásról és szociális ellátásokról Szoctv.)</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 (1) </w:t>
      </w:r>
      <w:r w:rsidDel="00000000" w:rsidR="00000000" w:rsidRPr="00000000">
        <w:rPr>
          <w:rFonts w:ascii="Times New Roman" w:cs="Times New Roman" w:eastAsia="Times New Roman" w:hAnsi="Times New Roman"/>
          <w:sz w:val="24"/>
          <w:szCs w:val="24"/>
          <w:u w:val="single"/>
          <w:rtl w:val="0"/>
        </w:rPr>
        <w:t xml:space="preserve">Gyermekek otthongondozási díjára jogosult</w:t>
      </w:r>
      <w:r w:rsidDel="00000000" w:rsidR="00000000" w:rsidRPr="00000000">
        <w:rPr>
          <w:rFonts w:ascii="Times New Roman" w:cs="Times New Roman" w:eastAsia="Times New Roman" w:hAnsi="Times New Roman"/>
          <w:sz w:val="24"/>
          <w:szCs w:val="24"/>
          <w:rtl w:val="0"/>
        </w:rPr>
        <w:t xml:space="preserve"> az a vér szerinti vagy örökbefogadó szülő (ezen alcím vonatkozásában a továbbiakban együtt: szülő), aki</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súlyos fogyatékosságából eredően önellátásra képtelen vér szerinti vagy örökbe fogadott gyermekéről (ezen alcím vonatkozásában a vér szerinti és az örökbe fogadott gyermek a továbbiakban együtt: gyermek), vagy</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tartós betegségéből eredően önellátásra képtelen gyermekéről gondoskodik.</w:t>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Az (1) bekezdés a) pontjának alkalmazásában súlyos fogyatékossága áll fenn a gyermeknek, ha megfelel a 41. § (1) bekezdés a) pont aa) alpontjában foglaltaknak.</w:t>
      </w:r>
    </w:p>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Az (1) bekezdés b) pontjának alkalmazásában tartósan beteg a gyermek, ha egészségi állapotára figyelemmel előreláthatóan három hónapnál hosszabb időtartamban ápolásra, gondozásra szorul.</w:t>
      </w:r>
    </w:p>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Az (1) bekezdés a) és b) pontjának alkalmazásában önellátásra képtelen a gyermek, ha a pénzbeli és természetbeni szociális ellátások igénylésének és megállapításának, valamint folyósításának részletes szabályairól szóló kormányrendeletben meghatározott feltételeknek megfelelő szakértő e tényt az ott meghatározott feltételek alapján, szakvéleményben megállapítja.</w:t>
      </w:r>
    </w:p>
    <w:p w:rsidR="00000000" w:rsidDel="00000000" w:rsidP="00000000" w:rsidRDefault="00000000" w:rsidRPr="00000000" w14:paraId="000000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Egy szülő számára egyidejűleg csak egy gyermekek otthongondozási díjára való jogosultság állapítható meg. A 39/A. § (2) bekezdésében az ellátás összege tekintetében meghatározott kedvezmény igénybevétele céljából a szülő kérheti, hogy az e §-ban a gyermekre meghatározott feltételek teljesülését a járási hivatal több gyermekre figyelemmel is vizsgálja.</w:t>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Egyazon gyermekre tekintettel csak egy szülő számára állapítható meg a gyermekek otthongondozási díja.</w:t>
      </w:r>
    </w:p>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 *  (1) A gyermekek otthongondozási díjára való jogosultság - a 38. §-ban a gyermekre meghatározott feltételek teljesülése esetén - a szülőn kívül a gyermek más, a gyermekkel közös háztartásban élő hozzátartozója [Ptk. 8:1. § (1) bekezdés 2. pont] számára is megállapítható, ha a szülőnek az ellátásra való jogosultságát a gyermekre tekintettel korábban már megállapították, de a szülő meghalt, a szülői felügyeleti joga a Ptk. 4:186. § (1) bekezdés a), c), e) vagy h) pontja vagy 4:186. § (2) bekezdése alapján szünetel, illetve azt a bíróság megszüntette, vagy a gyermek állandó és tartós gondozásában a saját egészségi állapotára figyelemmel akadályozottá vált.</w:t>
      </w:r>
    </w:p>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A szülő egészségi állapotára figyelemmel fennálló akadályozottság tényét és várható időtartamát a járási hivatal a pénzbeli és természetbeni szociális ellátások igénylésének és megállapításának, valamint folyósításának részletes szabályairól szóló kormányrendeletben meghatározott igazolás alapján állapítja meg.</w:t>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Az e § alapján megállapított ellátásra a 39/A. és 39/B. §-ban foglaltakat alkalmazni kell.</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39/A. § *  (1) A gyermekek otthongondozási díjának havi összege a 2019. évben 100 000 forint. A 2019. évet követően a gyermekek otthongondozási díjának havi összegéről az Országgyűlés a központi költségvetésről szóló törvény elfogadásával egyidejűleg dönt. * </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Ha a szülő a 38. § (5) bekezdésében lefolytatott vizsgálat alapján több olyan gyermekéről is gondoskodik, akire tekintettel a gyermekek otthongondozási díjára való jogosultsága megállapítható lenne, számára - e feltételek fennállásának időtartama alatt - az (1) bekezdésben foglalt havi összeg másfélszeresében megállapított ellátást kell folyósítani.</w:t>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A gyermekek otthongondozási díjának havi összege a más rendszeres pénzellátásban - ide nem értve a 39/B. § (5) bekezdés a) pontja szerinti rendszeres pénzellátásokat, ha a 39/B. § (5) bekezdés b) és c) pontjában meghatározott feltételek fennállnak, továbbá a szülő részére folyósított csecsemőgondozási díjat, gyermekgondozási díjat vagy gyermekgondozást segítő ellátást, ha azt nem a gyermekek otthongondozási díjára jogosító gyermekre tekintettel állapították meg, továbbá a gyermeknevelési támogatást - részesülő jogosult esetén az (1) vagy (2) bekezdés szerinti összegnek és a jogosult részére folyósított más rendszeres pénzellátás havi bruttó összegének a különbözete. Ha a különbözet az ezer forintot nem éri el, a jogosult részére ezer forint összegű ellátást kell megállapítani.</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A gyermekek otthongondozási díja folyósításának időtartama szolgálati időre jogosít. A gyermekek otthongondozási díjában részesülő személy - ide nem értve a Tbj. 37. §-a alapján nyugdíjjárulék fizetésére nem kötelezett személyt - az ellátás után nyugdíjjárulék fizetésére kötelezett.</w:t>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39/B. § (1) </w:t>
      </w:r>
      <w:r w:rsidDel="00000000" w:rsidR="00000000" w:rsidRPr="00000000">
        <w:rPr>
          <w:rFonts w:ascii="Times New Roman" w:cs="Times New Roman" w:eastAsia="Times New Roman" w:hAnsi="Times New Roman"/>
          <w:sz w:val="24"/>
          <w:szCs w:val="24"/>
          <w:u w:val="single"/>
          <w:rtl w:val="0"/>
        </w:rPr>
        <w:t xml:space="preserve">Nem jogosult gyermekek otthongondozási díjára a szülő, </w:t>
      </w:r>
      <w:r w:rsidDel="00000000" w:rsidR="00000000" w:rsidRPr="00000000">
        <w:rPr>
          <w:rFonts w:ascii="Times New Roman" w:cs="Times New Roman" w:eastAsia="Times New Roman" w:hAnsi="Times New Roman"/>
          <w:sz w:val="24"/>
          <w:szCs w:val="24"/>
          <w:rtl w:val="0"/>
        </w:rPr>
        <w:t xml:space="preserve">ha</w:t>
      </w:r>
    </w:p>
    <w:p w:rsidR="00000000" w:rsidDel="00000000" w:rsidP="00000000" w:rsidRDefault="00000000" w:rsidRPr="00000000" w14:paraId="000000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gyermek két hónapot meghaladóan fekvőbeteg-gyógyintézeti, valamint nappali ellátást nyújtó vagy bentlakásos szociális intézményi ellátásban, óvodai elhelyezésben vagy gyermekvédelmi szakellátást nyújtó bentlakásos intézményi elhelyezésben részesül, illetve köznevelési intézmény tanulója vagy felsőoktatási intézmény nappali képzésben részt vevő hallgatója, kivéve, ha</w:t>
      </w:r>
    </w:p>
    <w:p w:rsidR="00000000" w:rsidDel="00000000" w:rsidP="00000000" w:rsidRDefault="00000000" w:rsidRPr="00000000" w14:paraId="000000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 *  a köznevelési intézményben eltöltött idő a köznevelési intézményben, illetve a szakképző intézményben való kötelező tartózkodásra meghatározott időtartamot nem haladja meg,</w:t>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az óvoda vagy a nappali ellátást nyújtó szociális intézmény igénybevételének, illetve a felsőoktatási intézmény látogatási kötelezettségének időtartama átlagosan a napi 5 órát nem haladja meg, vagy</w:t>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 a köznevelési, illetve a felsőoktatási intézmény látogatása, vagy a nappali ellátást nyújtó szociális intézmény igénybevétele csak a szülő rendszeres közreműködésével valósítható meg;</w:t>
      </w:r>
    </w:p>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 a gyermeknevelési támogatás, valamint a nem a gyermekek otthongondozási díjára jogosító gyermekre tekintettel folyósított csecsemőgondozási díj, az örökbefogadói díj, gyermekgondozási díj, gyermekgondozást segítő ellátás, továbbá a tartós ápolást végzők időskori támogatása kivételével - rendszeres pénzellátásban részesül, és annak összege meghaladja a gyermekek otthongondozási díjának összegét, ide nem értve az (5) bekezdés szerinti esetet, valamint azt a táppénzt, amelyet a gyermekek otthongondozási díja folyósításának időtartama alatt végzett keresőtevékenységéből adódó biztosítási jogviszony alapján - keresőképtelenné válása esetén - folyósítanak;</w:t>
      </w:r>
    </w:p>
    <w:p w:rsidR="00000000" w:rsidDel="00000000" w:rsidP="00000000" w:rsidRDefault="00000000" w:rsidRPr="00000000" w14:paraId="000000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szakiskola, középiskola nappali rendszerű képzésének tanulója, illetve felsőoktatási intézmény nappali képzésben részt vevő hallgatója; vagy</w:t>
      </w:r>
    </w:p>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keresőtevékenységet folytat és munkaideje - az otthon történő munkavégzés kivételével - a napi 4 órát meghaladja.</w:t>
      </w:r>
    </w:p>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39/B. § (2) A</w:t>
      </w:r>
      <w:r w:rsidDel="00000000" w:rsidR="00000000" w:rsidRPr="00000000">
        <w:rPr>
          <w:rFonts w:ascii="Times New Roman" w:cs="Times New Roman" w:eastAsia="Times New Roman" w:hAnsi="Times New Roman"/>
          <w:sz w:val="24"/>
          <w:szCs w:val="24"/>
          <w:u w:val="single"/>
          <w:rtl w:val="0"/>
        </w:rPr>
        <w:t xml:space="preserve"> gyermekek otthongondozási díjára való jogosultságot meg kell szüntetni,</w:t>
      </w:r>
      <w:r w:rsidDel="00000000" w:rsidR="00000000" w:rsidRPr="00000000">
        <w:rPr>
          <w:rFonts w:ascii="Times New Roman" w:cs="Times New Roman" w:eastAsia="Times New Roman" w:hAnsi="Times New Roman"/>
          <w:sz w:val="24"/>
          <w:szCs w:val="24"/>
          <w:rtl w:val="0"/>
        </w:rPr>
        <w:t xml:space="preserve"> ha</w:t>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az otthon gondozott gyermek már nem tekinthető önellátásra képtelennek,</w:t>
      </w:r>
    </w:p>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az ápolást, gondozást végző szülő a kötelezettségét nem teljesíti,</w:t>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az otthon gondozott gyermek meghal,</w:t>
      </w:r>
    </w:p>
    <w:p w:rsidR="00000000" w:rsidDel="00000000" w:rsidP="00000000" w:rsidRDefault="00000000" w:rsidRPr="00000000" w14:paraId="000001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az ápolást, gondozást végző szülő vagy az otthon gondozott gyermek tartózkodási joga megszűnt vagy tartózkodási jogának gyakorlásával felhagyott,</w:t>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az (1) bekezdésben meghatározott valamelyik jogosultságot kizáró körülmény következik be,</w:t>
      </w:r>
    </w:p>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azt az ápolást, gondozást végző szülő kérte, vagy</w:t>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az ápolást, gondozást végző szülő a gyermekek otthongondozási díjára való jogosultság feltételeinek felülvizsgálatára irányuló, a 25. § (4)-(6) bekezdése szerinti eljárást akadályozza.</w:t>
      </w:r>
    </w:p>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Az (1) bekezdés a) pontjában, valamint a (2) bekezdés a) és c) pontjában foglalt esetekben a gyermekek otthongondozási díjára való jogosultságot a megszüntetésre okot adó körülmény bekövetkeztének hónapját követő harmadik hónap utolsó napjával kell megszüntetni.</w:t>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(2) bekezdés f) pontja szerinti esetben a gyermekek otthongondozási díjára való jogosultságot a kérelemben megjelölt időponttól, vagy - időpont megjelölésének hiányában - a kérelem benyújtását követő hónap utolsó napjával kell megszüntetni.</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Összefoglalva, az alperes tehát nem vette figyelembe, hogy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amit …………… </w:t>
      </w:r>
      <w:r w:rsidDel="00000000" w:rsidR="00000000" w:rsidRPr="00000000">
        <w:rPr>
          <w:rFonts w:ascii="Times New Roman" w:cs="Times New Roman" w:eastAsia="Times New Roman" w:hAnsi="Times New Roman"/>
          <w:sz w:val="24"/>
          <w:szCs w:val="24"/>
          <w:highlight w:val="yellow"/>
          <w:rtl w:val="0"/>
        </w:rPr>
        <w:t xml:space="preserve">bizonyít (.....sz. melléklet),</w:t>
      </w:r>
      <w:r w:rsidDel="00000000" w:rsidR="00000000" w:rsidRPr="00000000">
        <w:rPr>
          <w:rFonts w:ascii="Times New Roman" w:cs="Times New Roman" w:eastAsia="Times New Roman" w:hAnsi="Times New Roman"/>
          <w:sz w:val="24"/>
          <w:szCs w:val="24"/>
          <w:rtl w:val="0"/>
        </w:rPr>
        <w:t xml:space="preserve"> ezért ……………..</w:t>
      </w:r>
      <w:r w:rsidDel="00000000" w:rsidR="00000000" w:rsidRPr="00000000">
        <w:rPr>
          <w:rFonts w:ascii="Times New Roman" w:cs="Times New Roman" w:eastAsia="Times New Roman" w:hAnsi="Times New Roman"/>
          <w:sz w:val="24"/>
          <w:szCs w:val="24"/>
          <w:highlight w:val="yellow"/>
          <w:rtl w:val="0"/>
        </w:rPr>
        <w:t xml:space="preserve">(törvényt és §-t válassza ki fentebb</w:t>
      </w:r>
      <w:r w:rsidDel="00000000" w:rsidR="00000000" w:rsidRPr="00000000">
        <w:rPr>
          <w:rFonts w:ascii="Times New Roman" w:cs="Times New Roman" w:eastAsia="Times New Roman" w:hAnsi="Times New Roman"/>
          <w:sz w:val="24"/>
          <w:szCs w:val="24"/>
          <w:rtl w:val="0"/>
        </w:rPr>
        <w:t xml:space="preserve">) alapján jogosult vagyok a közigazgatási eljárásban </w:t>
      </w:r>
      <w:r w:rsidDel="00000000" w:rsidR="00000000" w:rsidRPr="00000000">
        <w:rPr>
          <w:rFonts w:ascii="Times New Roman" w:cs="Times New Roman" w:eastAsia="Times New Roman" w:hAnsi="Times New Roman"/>
          <w:sz w:val="24"/>
          <w:szCs w:val="24"/>
          <w:highlight w:val="yellow"/>
          <w:rtl w:val="0"/>
        </w:rPr>
        <w:t xml:space="preserve">igényelt/ vagy korábban fennálló</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(ellátás formája) </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Azért kérem a t. Bíróságot, hogy </w:t>
      </w:r>
      <w:r w:rsidDel="00000000" w:rsidR="00000000" w:rsidRPr="00000000">
        <w:rPr>
          <w:rFonts w:ascii="Times New Roman" w:cs="Times New Roman" w:eastAsia="Times New Roman" w:hAnsi="Times New Roman"/>
          <w:b w:val="1"/>
          <w:sz w:val="24"/>
          <w:szCs w:val="24"/>
          <w:rtl w:val="0"/>
        </w:rPr>
        <w:t xml:space="preserve">azonnali jogvédelem </w:t>
      </w:r>
      <w:r w:rsidDel="00000000" w:rsidR="00000000" w:rsidRPr="00000000">
        <w:rPr>
          <w:rFonts w:ascii="Times New Roman" w:cs="Times New Roman" w:eastAsia="Times New Roman" w:hAnsi="Times New Roman"/>
          <w:sz w:val="24"/>
          <w:szCs w:val="24"/>
          <w:rtl w:val="0"/>
        </w:rPr>
        <w:t xml:space="preserve">keretében mondja ki, hogy a keresetlevél benyújtása halasztó hatállyak bír az alperesi határozat végrehajtásának, mert ………………………………………………………</w:t>
      </w:r>
      <w:r w:rsidDel="00000000" w:rsidR="00000000" w:rsidRPr="00000000">
        <w:rPr>
          <w:rFonts w:ascii="Times New Roman" w:cs="Times New Roman" w:eastAsia="Times New Roman" w:hAnsi="Times New Roman"/>
          <w:sz w:val="24"/>
          <w:szCs w:val="24"/>
          <w:highlight w:val="yellow"/>
          <w:rtl w:val="0"/>
        </w:rPr>
        <w:t xml:space="preserve">…(írja le miért lenne Önnek rossz, ha végre kellene hajtani a perben támadott Határozatot)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Fontos! </w:t>
      </w:r>
      <w:r w:rsidDel="00000000" w:rsidR="00000000" w:rsidRPr="00000000">
        <w:rPr>
          <w:rFonts w:ascii="Times New Roman" w:cs="Times New Roman" w:eastAsia="Times New Roman" w:hAnsi="Times New Roman"/>
          <w:sz w:val="24"/>
          <w:szCs w:val="24"/>
          <w:rtl w:val="0"/>
        </w:rPr>
        <w:t xml:space="preserve">Mindenhol mellékletként kell hivatkozni a szövegben (pl:1. sz. melléklet) az okirati bizonyítékokra, és fel kell sorolni a keresetlevél végén az összes mellékletet. A mellékleteket is be kell adni a keresetlevéllel együtt.</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Egyéb nyilatkozatok, indítványok</w:t>
      </w:r>
    </w:p>
    <w:p w:rsidR="00000000" w:rsidDel="00000000" w:rsidP="00000000" w:rsidRDefault="00000000" w:rsidRPr="00000000" w14:paraId="00000114">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Előadom, hogy a támadott határozatról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napján, postai kézbesítés útján szereztünk tudomást.</w:t>
      </w:r>
    </w:p>
    <w:p w:rsidR="00000000" w:rsidDel="00000000" w:rsidP="00000000" w:rsidRDefault="00000000" w:rsidRPr="00000000" w14:paraId="00000115">
      <w:pPr>
        <w:spacing w:after="240" w:before="240" w:line="276"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2. Az eljárásban a felperest az Itv. 62. § (1) bekezdése h) pontja alapján illetékfeljegyzési jog illeti meg.</w:t>
      </w:r>
    </w:p>
    <w:p w:rsidR="00000000" w:rsidDel="00000000" w:rsidP="00000000" w:rsidRDefault="00000000" w:rsidRPr="00000000" w14:paraId="00000116">
      <w:pPr>
        <w:spacing w:after="160" w:before="24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3. Kérem a t. Bíróságot, hogy a 6/1986. (VI. 26.) IM rendelet 6. § </w:t>
      </w:r>
      <w:r w:rsidDel="00000000" w:rsidR="00000000" w:rsidRPr="00000000">
        <w:rPr>
          <w:rFonts w:ascii="Times New Roman" w:cs="Times New Roman" w:eastAsia="Times New Roman" w:hAnsi="Times New Roman"/>
          <w:sz w:val="24"/>
          <w:szCs w:val="24"/>
          <w:highlight w:val="white"/>
          <w:rtl w:val="0"/>
        </w:rPr>
        <w:t xml:space="preserve">alapján szíveskedjen teljes személyes költségmentességet biztosítani számunkra. A kitöltött kérelmet a </w:t>
      </w:r>
      <w:r w:rsidDel="00000000" w:rsidR="00000000" w:rsidRPr="00000000">
        <w:rPr>
          <w:rFonts w:ascii="Times New Roman" w:cs="Times New Roman" w:eastAsia="Times New Roman" w:hAnsi="Times New Roman"/>
          <w:sz w:val="24"/>
          <w:szCs w:val="24"/>
          <w:highlight w:val="yellow"/>
          <w:rtl w:val="0"/>
        </w:rPr>
        <w:t xml:space="preserve">………sz. mellékletként csatoljuk.</w:t>
      </w:r>
    </w:p>
    <w:p w:rsidR="00000000" w:rsidDel="00000000" w:rsidP="00000000" w:rsidRDefault="00000000" w:rsidRPr="00000000" w14:paraId="00000117">
      <w:pPr>
        <w:spacing w:after="160" w:before="24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CSAK HA SZERETNÉ AZ ALÁBBIAKAT, AKKOR MARADJANAK BENNE</w:t>
      </w:r>
    </w:p>
    <w:p w:rsidR="00000000" w:rsidDel="00000000" w:rsidP="00000000" w:rsidRDefault="00000000" w:rsidRPr="00000000" w14:paraId="00000118">
      <w:pPr>
        <w:spacing w:after="160" w:before="24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4. Kérem a t. Bíróságot, hogy az ügyben szíveskedjen tárgyalást tartani.</w:t>
      </w:r>
    </w:p>
    <w:p w:rsidR="00000000" w:rsidDel="00000000" w:rsidP="00000000" w:rsidRDefault="00000000" w:rsidRPr="00000000" w14:paraId="00000119">
      <w:pPr>
        <w:spacing w:after="160" w:before="24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 Kérem a t. Bíróságot, hogy a perben tanúként hallgassa meg a………………….(tanú neve, címe)</w:t>
      </w:r>
    </w:p>
    <w:p w:rsidR="00000000" w:rsidDel="00000000" w:rsidP="00000000" w:rsidRDefault="00000000" w:rsidRPr="00000000" w14:paraId="0000011A">
      <w:pPr>
        <w:spacing w:after="160" w:before="24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6. Kérem a t. Bíróságot, hogy a perben személyesen hallgassa meg a felperest. </w:t>
      </w:r>
    </w:p>
    <w:p w:rsidR="00000000" w:rsidDel="00000000" w:rsidP="00000000" w:rsidRDefault="00000000" w:rsidRPr="00000000" w14:paraId="0000011B">
      <w:pPr>
        <w:spacing w:after="240" w:before="24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11C">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D">
      <w:pPr>
        <w:spacing w:after="240" w:before="240" w:line="276" w:lineRule="auto"/>
        <w:ind w:left="3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spacing w:after="240" w:before="24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Tisztelettel:</w:t>
        <w:tab/>
        <w:tab/>
        <w:tab/>
        <w:tab/>
        <w:tab/>
        <w:tab/>
      </w:r>
    </w:p>
    <w:p w:rsidR="00000000" w:rsidDel="00000000" w:rsidP="00000000" w:rsidRDefault="00000000" w:rsidRPr="00000000" w14:paraId="0000011F">
      <w:pPr>
        <w:spacing w:after="240" w:before="24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0">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aláírás </w:t>
      </w:r>
    </w:p>
    <w:p w:rsidR="00000000" w:rsidDel="00000000" w:rsidP="00000000" w:rsidRDefault="00000000" w:rsidRPr="00000000" w14:paraId="000001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Mellékletek:</w:t>
      </w:r>
    </w:p>
    <w:p w:rsidR="00000000" w:rsidDel="00000000" w:rsidP="00000000" w:rsidRDefault="00000000" w:rsidRPr="00000000" w14:paraId="00000123">
      <w:pPr>
        <w:numPr>
          <w:ilvl w:val="0"/>
          <w:numId w:val="1"/>
        </w:numPr>
        <w:spacing w:line="276" w:lineRule="auto"/>
        <w:ind w:left="720" w:hanging="360"/>
        <w:rPr>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sz. melléklet: alperes……………számú határozata……………kérelmem elutasításáról</w:t>
      </w:r>
    </w:p>
    <w:p w:rsidR="00000000" w:rsidDel="00000000" w:rsidP="00000000" w:rsidRDefault="00000000" w:rsidRPr="00000000" w14:paraId="00000124">
      <w:pPr>
        <w:numPr>
          <w:ilvl w:val="0"/>
          <w:numId w:val="1"/>
        </w:numPr>
        <w:spacing w:line="276" w:lineRule="auto"/>
        <w:ind w:left="720" w:hanging="360"/>
        <w:rPr>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sz. melléklet: felperes teljes személyes költségmentesség biztosítása iránti kérelme</w:t>
      </w:r>
    </w:p>
    <w:p w:rsidR="00000000" w:rsidDel="00000000" w:rsidP="00000000" w:rsidRDefault="00000000" w:rsidRPr="00000000" w14:paraId="00000125">
      <w:pPr>
        <w:numPr>
          <w:ilvl w:val="0"/>
          <w:numId w:val="1"/>
        </w:numPr>
        <w:spacing w:line="276" w:lineRule="auto"/>
        <w:ind w:left="720" w:hanging="360"/>
        <w:rPr>
          <w:rFonts w:ascii="Times New Roman" w:cs="Times New Roman" w:eastAsia="Times New Roman" w:hAnsi="Times New Roman"/>
          <w:sz w:val="24"/>
          <w:szCs w:val="24"/>
          <w:highlight w:val="yellow"/>
          <w:u w:val="none"/>
        </w:rPr>
      </w:pPr>
      <w:r w:rsidDel="00000000" w:rsidR="00000000" w:rsidRPr="00000000">
        <w:rPr>
          <w:rFonts w:ascii="Times New Roman" w:cs="Times New Roman" w:eastAsia="Times New Roman" w:hAnsi="Times New Roman"/>
          <w:sz w:val="24"/>
          <w:szCs w:val="24"/>
          <w:highlight w:val="yellow"/>
          <w:rtl w:val="0"/>
        </w:rPr>
        <w:t xml:space="preserve">HA VAN MÉG AKKOR SOROLJA FEL</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Tanúk: </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Név (teljes </w:t>
      </w:r>
      <w:r w:rsidDel="00000000" w:rsidR="00000000" w:rsidRPr="00000000">
        <w:rPr>
          <w:rFonts w:ascii="Times New Roman" w:cs="Times New Roman" w:eastAsia="Times New Roman" w:hAnsi="Times New Roman"/>
          <w:sz w:val="24"/>
          <w:szCs w:val="24"/>
          <w:highlight w:val="yellow"/>
          <w:rtl w:val="0"/>
        </w:rPr>
        <w:t xml:space="preserve">név)</w:t>
      </w:r>
      <w:r w:rsidDel="00000000" w:rsidR="00000000" w:rsidRPr="00000000">
        <w:rPr>
          <w:rFonts w:ascii="Times New Roman" w:cs="Times New Roman" w:eastAsia="Times New Roman" w:hAnsi="Times New Roman"/>
          <w:sz w:val="24"/>
          <w:szCs w:val="24"/>
          <w:rtl w:val="0"/>
        </w:rPr>
        <w:t xml:space="preserve">: __________________________________________________________</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Lakóhel</w:t>
      </w:r>
      <w:r w:rsidDel="00000000" w:rsidR="00000000" w:rsidRPr="00000000">
        <w:rPr>
          <w:rFonts w:ascii="Times New Roman" w:cs="Times New Roman" w:eastAsia="Times New Roman" w:hAnsi="Times New Roman"/>
          <w:sz w:val="24"/>
          <w:szCs w:val="24"/>
          <w:rtl w:val="0"/>
        </w:rPr>
        <w:t xml:space="preserve">y (ennek hiányában tartózkodási hely): __________________________________</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Aláírás</w:t>
      </w:r>
      <w:r w:rsidDel="00000000" w:rsidR="00000000" w:rsidRPr="00000000">
        <w:rPr>
          <w:rFonts w:ascii="Times New Roman" w:cs="Times New Roman" w:eastAsia="Times New Roman" w:hAnsi="Times New Roman"/>
          <w:sz w:val="24"/>
          <w:szCs w:val="24"/>
          <w:rtl w:val="0"/>
        </w:rPr>
        <w:t xml:space="preserve">: ________________________________________</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Név </w:t>
      </w:r>
      <w:r w:rsidDel="00000000" w:rsidR="00000000" w:rsidRPr="00000000">
        <w:rPr>
          <w:rFonts w:ascii="Times New Roman" w:cs="Times New Roman" w:eastAsia="Times New Roman" w:hAnsi="Times New Roman"/>
          <w:sz w:val="24"/>
          <w:szCs w:val="24"/>
          <w:rtl w:val="0"/>
        </w:rPr>
        <w:t xml:space="preserve">(teljes név): ____________________________________________________________</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Lakóh</w:t>
      </w:r>
      <w:r w:rsidDel="00000000" w:rsidR="00000000" w:rsidRPr="00000000">
        <w:rPr>
          <w:rFonts w:ascii="Times New Roman" w:cs="Times New Roman" w:eastAsia="Times New Roman" w:hAnsi="Times New Roman"/>
          <w:sz w:val="24"/>
          <w:szCs w:val="24"/>
          <w:rtl w:val="0"/>
        </w:rPr>
        <w:t xml:space="preserve">ely (ennek hiányában tartózkodási hely): ____________________________________</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Aláí</w:t>
      </w:r>
      <w:r w:rsidDel="00000000" w:rsidR="00000000" w:rsidRPr="00000000">
        <w:rPr>
          <w:rFonts w:ascii="Times New Roman" w:cs="Times New Roman" w:eastAsia="Times New Roman" w:hAnsi="Times New Roman"/>
          <w:sz w:val="24"/>
          <w:szCs w:val="24"/>
          <w:rtl w:val="0"/>
        </w:rPr>
        <w:t xml:space="preserve">rás: ________________________________________</w:t>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