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b w:val="1"/>
          <w:sz w:val="24"/>
          <w:szCs w:val="24"/>
          <w:highlight w:val="yellow"/>
          <w:rtl w:val="0"/>
        </w:rPr>
        <w:t xml:space="preserve">[...] Törvényszék</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részére</w:t>
      </w:r>
    </w:p>
    <w:p w:rsidR="00000000" w:rsidDel="00000000" w:rsidP="00000000" w:rsidRDefault="00000000" w:rsidRPr="00000000" w14:paraId="00000002">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 Város jegyzője</w:t>
      </w:r>
      <w:r w:rsidDel="00000000" w:rsidR="00000000" w:rsidRPr="00000000">
        <w:rPr>
          <w:rFonts w:ascii="Times New Roman" w:cs="Times New Roman" w:eastAsia="Times New Roman" w:hAnsi="Times New Roman"/>
          <w:b w:val="1"/>
          <w:sz w:val="24"/>
          <w:szCs w:val="24"/>
          <w:rtl w:val="0"/>
        </w:rPr>
        <w:t xml:space="preserve">, mint a helyi választási iroda vezetője útján</w:t>
      </w:r>
    </w:p>
    <w:p w:rsidR="00000000" w:rsidDel="00000000" w:rsidP="00000000" w:rsidRDefault="00000000" w:rsidRPr="00000000" w14:paraId="00000003">
      <w:pPr>
        <w:spacing w:after="160" w:line="259"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160" w:line="259"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Tisztelt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 Törvényszék!</w:t>
      </w:r>
    </w:p>
    <w:p w:rsidR="00000000" w:rsidDel="00000000" w:rsidP="00000000" w:rsidRDefault="00000000" w:rsidRPr="00000000" w14:paraId="00000005">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Alulírott </w:t>
      </w:r>
      <w:r w:rsidDel="00000000" w:rsidR="00000000" w:rsidRPr="00000000">
        <w:rPr>
          <w:rFonts w:ascii="Times New Roman" w:cs="Times New Roman" w:eastAsia="Times New Roman" w:hAnsi="Times New Roman"/>
          <w:b w:val="1"/>
          <w:sz w:val="24"/>
          <w:szCs w:val="24"/>
          <w:highlight w:val="yellow"/>
          <w:rtl w:val="0"/>
        </w:rPr>
        <w:t xml:space="preserve">[NÉV]</w:t>
      </w:r>
      <w:r w:rsidDel="00000000" w:rsidR="00000000" w:rsidRPr="00000000">
        <w:rPr>
          <w:rFonts w:ascii="Times New Roman" w:cs="Times New Roman" w:eastAsia="Times New Roman" w:hAnsi="Times New Roman"/>
          <w:sz w:val="24"/>
          <w:szCs w:val="24"/>
          <w:rtl w:val="0"/>
        </w:rPr>
        <w:t xml:space="preserve"> (szül: </w:t>
      </w:r>
      <w:r w:rsidDel="00000000" w:rsidR="00000000" w:rsidRPr="00000000">
        <w:rPr>
          <w:rFonts w:ascii="Times New Roman" w:cs="Times New Roman" w:eastAsia="Times New Roman" w:hAnsi="Times New Roman"/>
          <w:sz w:val="24"/>
          <w:szCs w:val="24"/>
          <w:highlight w:val="yellow"/>
          <w:rtl w:val="0"/>
        </w:rPr>
        <w:t xml:space="preserve">[HELY]</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[IDŐ]</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rtl w:val="0"/>
        </w:rPr>
        <w:t xml:space="preserve">; anyja neve: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személyi azonosító: </w:t>
      </w:r>
      <w:r w:rsidDel="00000000" w:rsidR="00000000" w:rsidRPr="00000000">
        <w:rPr>
          <w:rFonts w:ascii="Times New Roman" w:cs="Times New Roman" w:eastAsia="Times New Roman" w:hAnsi="Times New Roman"/>
          <w:sz w:val="24"/>
          <w:szCs w:val="24"/>
          <w:highlight w:val="yellow"/>
          <w:rtl w:val="0"/>
        </w:rPr>
        <w:t xml:space="preserve">[X-XXXXXX-XXXX]</w:t>
      </w:r>
      <w:r w:rsidDel="00000000" w:rsidR="00000000" w:rsidRPr="00000000">
        <w:rPr>
          <w:rFonts w:ascii="Times New Roman" w:cs="Times New Roman" w:eastAsia="Times New Roman" w:hAnsi="Times New Roman"/>
          <w:sz w:val="24"/>
          <w:szCs w:val="24"/>
          <w:rtl w:val="0"/>
        </w:rPr>
        <w:t xml:space="preserve">; lakcím: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meghatalmazott jogi képviselőm (dr. </w:t>
      </w:r>
      <w:r w:rsidDel="00000000" w:rsidR="00000000" w:rsidRPr="00000000">
        <w:rPr>
          <w:rFonts w:ascii="Times New Roman" w:cs="Times New Roman" w:eastAsia="Times New Roman" w:hAnsi="Times New Roman"/>
          <w:sz w:val="24"/>
          <w:szCs w:val="24"/>
          <w:highlight w:val="yellow"/>
          <w:rtl w:val="0"/>
        </w:rPr>
        <w:t xml:space="preserve">[ÜGYVÉD NEVE, ADATAI]. </w:t>
      </w:r>
      <w:r w:rsidDel="00000000" w:rsidR="00000000" w:rsidRPr="00000000">
        <w:rPr>
          <w:rFonts w:ascii="Times New Roman" w:cs="Times New Roman" w:eastAsia="Times New Roman" w:hAnsi="Times New Roman"/>
          <w:sz w:val="24"/>
          <w:szCs w:val="24"/>
          <w:rtl w:val="0"/>
        </w:rPr>
        <w:t xml:space="preserve"> meghatalmazás </w:t>
      </w:r>
      <w:r w:rsidDel="00000000" w:rsidR="00000000" w:rsidRPr="00000000">
        <w:rPr>
          <w:rFonts w:ascii="Times New Roman" w:cs="Times New Roman" w:eastAsia="Times New Roman" w:hAnsi="Times New Roman"/>
          <w:sz w:val="24"/>
          <w:szCs w:val="24"/>
          <w:highlight w:val="green"/>
          <w:rtl w:val="0"/>
        </w:rPr>
        <w:t xml:space="preserve">F/1. számú mellékletként</w:t>
      </w:r>
      <w:r w:rsidDel="00000000" w:rsidR="00000000" w:rsidRPr="00000000">
        <w:rPr>
          <w:rFonts w:ascii="Times New Roman" w:cs="Times New Roman" w:eastAsia="Times New Roman" w:hAnsi="Times New Roman"/>
          <w:sz w:val="24"/>
          <w:szCs w:val="24"/>
          <w:rtl w:val="0"/>
        </w:rPr>
        <w:t xml:space="preserve"> csatolva) útján mint </w:t>
      </w:r>
      <w:r w:rsidDel="00000000" w:rsidR="00000000" w:rsidRPr="00000000">
        <w:rPr>
          <w:rFonts w:ascii="Times New Roman" w:cs="Times New Roman" w:eastAsia="Times New Roman" w:hAnsi="Times New Roman"/>
          <w:b w:val="1"/>
          <w:sz w:val="24"/>
          <w:szCs w:val="24"/>
          <w:rtl w:val="0"/>
        </w:rPr>
        <w:t xml:space="preserve">kérelmező</w:t>
      </w:r>
      <w:r w:rsidDel="00000000" w:rsidR="00000000" w:rsidRPr="00000000">
        <w:rPr>
          <w:rFonts w:ascii="Times New Roman" w:cs="Times New Roman" w:eastAsia="Times New Roman" w:hAnsi="Times New Roman"/>
          <w:sz w:val="24"/>
          <w:szCs w:val="24"/>
          <w:rtl w:val="0"/>
        </w:rPr>
        <w:t xml:space="preserve"> a választási eljárásról szóló 2013. évi XXXVI. törvény (a továbbiakban: Ve.) 307/Q. §-a alapján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Város jegyzője, mint a helyi választási iroda vezetője (cím: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e-mail: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telefon: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/2023.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számú határozata (a továbbiakban: határozat; </w:t>
      </w:r>
      <w:r w:rsidDel="00000000" w:rsidR="00000000" w:rsidRPr="00000000">
        <w:rPr>
          <w:rFonts w:ascii="Times New Roman" w:cs="Times New Roman" w:eastAsia="Times New Roman" w:hAnsi="Times New Roman"/>
          <w:sz w:val="24"/>
          <w:szCs w:val="24"/>
          <w:highlight w:val="green"/>
          <w:rtl w:val="0"/>
        </w:rPr>
        <w:t xml:space="preserve">F/2. számú melléklet</w:t>
      </w:r>
      <w:r w:rsidDel="00000000" w:rsidR="00000000" w:rsidRPr="00000000">
        <w:rPr>
          <w:rFonts w:ascii="Times New Roman" w:cs="Times New Roman" w:eastAsia="Times New Roman" w:hAnsi="Times New Roman"/>
          <w:sz w:val="24"/>
          <w:szCs w:val="24"/>
          <w:rtl w:val="0"/>
        </w:rPr>
        <w:t xml:space="preserve">) ellen az alábbi</w:t>
      </w:r>
    </w:p>
    <w:p w:rsidR="00000000" w:rsidDel="00000000" w:rsidP="00000000" w:rsidRDefault="00000000" w:rsidRPr="00000000" w14:paraId="00000006">
      <w:pPr>
        <w:spacing w:after="160" w:line="259"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bírósági felülvizsgálati kérelmet</w:t>
      </w:r>
    </w:p>
    <w:p w:rsidR="00000000" w:rsidDel="00000000" w:rsidP="00000000" w:rsidRDefault="00000000" w:rsidRPr="00000000" w14:paraId="00000007">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terjesztem elő. </w:t>
      </w:r>
    </w:p>
    <w:p w:rsidR="00000000" w:rsidDel="00000000" w:rsidP="00000000" w:rsidRDefault="00000000" w:rsidRPr="00000000" w14:paraId="00000008">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Kérem a Tisztelt Bíróságot, hogy a határozatot – annak alábbiakban kifejtett jogsértő és Alaptörvénysértő voltára tekintettel – megsemmisíteni, és a Helyi Választási Iroda vezetőjét új döntés meghozatalára kötelezni szíveskedjen!</w:t>
      </w:r>
    </w:p>
    <w:p w:rsidR="00000000" w:rsidDel="00000000" w:rsidP="00000000" w:rsidRDefault="00000000" w:rsidRPr="00000000" w14:paraId="00000009">
      <w:pPr>
        <w:numPr>
          <w:ilvl w:val="0"/>
          <w:numId w:val="1"/>
        </w:numPr>
        <w:spacing w:after="160" w:line="259"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Tényállás</w:t>
      </w:r>
    </w:p>
    <w:p w:rsidR="00000000" w:rsidDel="00000000" w:rsidP="00000000" w:rsidRDefault="00000000" w:rsidRPr="00000000" w14:paraId="0000000A">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Város jegyzője, mint a Helyi Választási Iroda vezetője, 2023. </w:t>
      </w:r>
      <w:r w:rsidDel="00000000" w:rsidR="00000000" w:rsidRPr="00000000">
        <w:rPr>
          <w:rFonts w:ascii="Times New Roman" w:cs="Times New Roman" w:eastAsia="Times New Roman" w:hAnsi="Times New Roman"/>
          <w:sz w:val="24"/>
          <w:szCs w:val="24"/>
          <w:highlight w:val="yellow"/>
          <w:rtl w:val="0"/>
        </w:rPr>
        <w:t xml:space="preserve">[DÁTUM]</w:t>
      </w:r>
      <w:r w:rsidDel="00000000" w:rsidR="00000000" w:rsidRPr="00000000">
        <w:rPr>
          <w:rFonts w:ascii="Times New Roman" w:cs="Times New Roman" w:eastAsia="Times New Roman" w:hAnsi="Times New Roman"/>
          <w:sz w:val="24"/>
          <w:szCs w:val="24"/>
          <w:rtl w:val="0"/>
        </w:rPr>
        <w:t xml:space="preserve">-án mind a város polgármesteri hivatalának hirdetőtábláján, mind pedig a város honlapján elrendelte az önkormányzati választásokon alkalmazandó egyéni választókerületek kialakításáról szóló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/2023.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határozatának, valamint annak mellékletének (amely a szavazókörök beosztását tartalmazza, lásd </w:t>
      </w:r>
      <w:r w:rsidDel="00000000" w:rsidR="00000000" w:rsidRPr="00000000">
        <w:rPr>
          <w:rFonts w:ascii="Times New Roman" w:cs="Times New Roman" w:eastAsia="Times New Roman" w:hAnsi="Times New Roman"/>
          <w:sz w:val="24"/>
          <w:szCs w:val="24"/>
          <w:highlight w:val="green"/>
          <w:rtl w:val="0"/>
        </w:rPr>
        <w:t xml:space="preserve">F/2. számú melléklet</w:t>
      </w:r>
      <w:r w:rsidDel="00000000" w:rsidR="00000000" w:rsidRPr="00000000">
        <w:rPr>
          <w:rFonts w:ascii="Times New Roman" w:cs="Times New Roman" w:eastAsia="Times New Roman" w:hAnsi="Times New Roman"/>
          <w:sz w:val="24"/>
          <w:szCs w:val="24"/>
          <w:rtl w:val="0"/>
        </w:rPr>
        <w:t xml:space="preserve">) kihirdetését. </w:t>
      </w:r>
    </w:p>
    <w:p w:rsidR="00000000" w:rsidDel="00000000" w:rsidP="00000000" w:rsidRDefault="00000000" w:rsidRPr="00000000" w14:paraId="0000000B">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Határozatot a Helyi Választási Iroda vezetője a Ve. 306/A. § (1) bekezdésében foglalt hatáskörében alkotta meg, amely alapján a 10.000 fő feletti településeken az egyéni választókerülteket a helyi választási iroda vezetője alakítja ki.</w:t>
      </w:r>
    </w:p>
    <w:p w:rsidR="00000000" w:rsidDel="00000000" w:rsidP="00000000" w:rsidRDefault="00000000" w:rsidRPr="00000000" w14:paraId="0000000C">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Határozat a választókerületeket oly módon határozza meg, hogy jelentős eltérés mutatkozik a választásra jogosultak száma tekintetében. </w:t>
      </w:r>
      <w:r w:rsidDel="00000000" w:rsidR="00000000" w:rsidRPr="00000000">
        <w:rPr>
          <w:rFonts w:ascii="Times New Roman" w:cs="Times New Roman" w:eastAsia="Times New Roman" w:hAnsi="Times New Roman"/>
          <w:sz w:val="24"/>
          <w:szCs w:val="24"/>
          <w:highlight w:val="yellow"/>
          <w:rtl w:val="0"/>
        </w:rPr>
        <w:t xml:space="preserve">[Itt szükséges leírni, hogy melyik EVK tér el a számtani átlagtól és mennyivel. Például: “Ahogy azt maga a Határozat is tartalmazza, az 1. és 6. TEVK-ban a választásra jogosultak száma rendre 15,18 és 16,18 százalékkal (rendre 1393 fő és  1381 fő) haladja meg a településen az egyéni választókerületre jutó választásra jogosultak számtani átlagát (ami 1199 fő).”]</w:t>
      </w:r>
      <w:r w:rsidDel="00000000" w:rsidR="00000000" w:rsidRPr="00000000">
        <w:rPr>
          <w:rtl w:val="0"/>
        </w:rPr>
      </w:r>
    </w:p>
    <w:p w:rsidR="00000000" w:rsidDel="00000000" w:rsidP="00000000" w:rsidRDefault="00000000" w:rsidRPr="00000000" w14:paraId="0000000D">
      <w:pPr>
        <w:numPr>
          <w:ilvl w:val="0"/>
          <w:numId w:val="1"/>
        </w:numPr>
        <w:spacing w:after="160" w:line="259" w:lineRule="auto"/>
        <w:ind w:left="72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Az érintettség alátámasztása, a bíróság hatásköre és illetékessége, a jogorvoslati határidő megtartottsága</w:t>
      </w:r>
    </w:p>
    <w:p w:rsidR="00000000" w:rsidDel="00000000" w:rsidP="00000000" w:rsidRDefault="00000000" w:rsidRPr="00000000" w14:paraId="0000000E">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Az érintettség kapcsán </w:t>
      </w:r>
      <w:r w:rsidDel="00000000" w:rsidR="00000000" w:rsidRPr="00000000">
        <w:rPr>
          <w:rFonts w:ascii="Times New Roman" w:cs="Times New Roman" w:eastAsia="Times New Roman" w:hAnsi="Times New Roman"/>
          <w:sz w:val="24"/>
          <w:szCs w:val="24"/>
          <w:rtl w:val="0"/>
        </w:rPr>
        <w:t xml:space="preserve">a kúriai döntések (Kvk.III.37.298/2014/2. Kvk.III.37.503/2014/3., Kvk.III.37.179/2014/3.) nem az érintettség bizonyítását, hanem valószínűsítését kívánják meg. </w:t>
      </w:r>
      <w:r w:rsidDel="00000000" w:rsidR="00000000" w:rsidRPr="00000000">
        <w:rPr>
          <w:rFonts w:ascii="Times New Roman" w:cs="Times New Roman" w:eastAsia="Times New Roman" w:hAnsi="Times New Roman"/>
          <w:sz w:val="24"/>
          <w:szCs w:val="24"/>
          <w:rtl w:val="0"/>
        </w:rPr>
        <w:t xml:space="preserve"> Ennek megfelelően Kérelmező előadja, hogy lakóhelye </w:t>
      </w:r>
      <w:r w:rsidDel="00000000" w:rsidR="00000000" w:rsidRPr="00000000">
        <w:rPr>
          <w:rFonts w:ascii="Times New Roman" w:cs="Times New Roman" w:eastAsia="Times New Roman" w:hAnsi="Times New Roman"/>
          <w:sz w:val="24"/>
          <w:szCs w:val="24"/>
          <w:highlight w:val="yellow"/>
          <w:rtl w:val="0"/>
        </w:rPr>
        <w:t xml:space="preserve">[VÁROS NEVE]</w:t>
      </w:r>
      <w:r w:rsidDel="00000000" w:rsidR="00000000" w:rsidRPr="00000000">
        <w:rPr>
          <w:rFonts w:ascii="Times New Roman" w:cs="Times New Roman" w:eastAsia="Times New Roman" w:hAnsi="Times New Roman"/>
          <w:sz w:val="24"/>
          <w:szCs w:val="24"/>
          <w:rtl w:val="0"/>
        </w:rPr>
        <w:t xml:space="preserve"> található, amely önmagában megalapozza az érintettséget, hiszen a választókerületek közötti aránytalanság kihat a képviselő testület megválasztására, amely a helyi önkormányzat legfőbb képviseleti szerve, és mint ilyen a Kérelmező képviseletét is ellátja. </w:t>
      </w:r>
    </w:p>
    <w:p w:rsidR="00000000" w:rsidDel="00000000" w:rsidP="00000000" w:rsidRDefault="00000000" w:rsidRPr="00000000" w14:paraId="0000000F">
      <w:pPr>
        <w:spacing w:after="160" w:line="259"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[Még erősebb az érintettség akkor, ha abban az EVK-ban lakik a kérelmező, amely eltér az átlagtól. Ekkor kiegészíthető az alábbival: Másrészt Kérelmező a [...] választókerületben lakik. Ez azt jelenti, hogy Kérelmező a legnépesebb választókerületben választhat az egyéni jelöltek között, amely következtében, a lent kifejtettek szerint is ezen EVK-van választásra jogosultak választójoga ér a legkevesebbet.]</w:t>
      </w:r>
    </w:p>
    <w:p w:rsidR="00000000" w:rsidDel="00000000" w:rsidP="00000000" w:rsidRDefault="00000000" w:rsidRPr="00000000" w14:paraId="00000010">
      <w:pPr>
        <w:spacing w:after="160" w:line="259"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Az érintettség igazolásához lásd </w:t>
      </w:r>
      <w:r w:rsidDel="00000000" w:rsidR="00000000" w:rsidRPr="00000000">
        <w:rPr>
          <w:rFonts w:ascii="Times New Roman" w:cs="Times New Roman" w:eastAsia="Times New Roman" w:hAnsi="Times New Roman"/>
          <w:sz w:val="24"/>
          <w:szCs w:val="24"/>
          <w:highlight w:val="green"/>
          <w:rtl w:val="0"/>
        </w:rPr>
        <w:t xml:space="preserve">F/3. számú mellékletet.</w:t>
      </w:r>
      <w:r w:rsidDel="00000000" w:rsidR="00000000" w:rsidRPr="00000000">
        <w:rPr>
          <w:rtl w:val="0"/>
        </w:rPr>
      </w:r>
    </w:p>
    <w:p w:rsidR="00000000" w:rsidDel="00000000" w:rsidP="00000000" w:rsidRDefault="00000000" w:rsidRPr="00000000" w14:paraId="00000011">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Miskolci </w:t>
      </w:r>
      <w:r w:rsidDel="00000000" w:rsidR="00000000" w:rsidRPr="00000000">
        <w:rPr>
          <w:rFonts w:ascii="Times New Roman" w:cs="Times New Roman" w:eastAsia="Times New Roman" w:hAnsi="Times New Roman"/>
          <w:sz w:val="24"/>
          <w:szCs w:val="24"/>
          <w:rtl w:val="0"/>
        </w:rPr>
        <w:t xml:space="preserve">Törvényszék</w:t>
      </w:r>
      <w:r w:rsidDel="00000000" w:rsidR="00000000" w:rsidRPr="00000000">
        <w:rPr>
          <w:rFonts w:ascii="Times New Roman" w:cs="Times New Roman" w:eastAsia="Times New Roman" w:hAnsi="Times New Roman"/>
          <w:sz w:val="24"/>
          <w:szCs w:val="24"/>
          <w:rtl w:val="0"/>
        </w:rPr>
        <w:t xml:space="preserve"> hatásköre a Ve. 307/Q. §-án alapul.</w:t>
      </w:r>
    </w:p>
    <w:p w:rsidR="00000000" w:rsidDel="00000000" w:rsidP="00000000" w:rsidRDefault="00000000" w:rsidRPr="00000000" w14:paraId="00000012">
      <w:pPr>
        <w:spacing w:after="160" w:line="259"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Határozatot a Helyi Választási Iroda vezetője november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-án tette közzé, a Határozat a Ve. 306/B. § alapján a </w:t>
      </w:r>
      <w:r w:rsidDel="00000000" w:rsidR="00000000" w:rsidRPr="00000000">
        <w:rPr>
          <w:rFonts w:ascii="Times New Roman" w:cs="Times New Roman" w:eastAsia="Times New Roman" w:hAnsi="Times New Roman"/>
          <w:sz w:val="24"/>
          <w:szCs w:val="24"/>
          <w:rtl w:val="0"/>
        </w:rPr>
        <w:t xml:space="preserve">közzétételtől</w:t>
      </w:r>
      <w:r w:rsidDel="00000000" w:rsidR="00000000" w:rsidRPr="00000000">
        <w:rPr>
          <w:rFonts w:ascii="Times New Roman" w:cs="Times New Roman" w:eastAsia="Times New Roman" w:hAnsi="Times New Roman"/>
          <w:sz w:val="24"/>
          <w:szCs w:val="24"/>
          <w:rtl w:val="0"/>
        </w:rPr>
        <w:t xml:space="preserve"> számított tizenöt napon belül támadható meg a bíróság előtt, mindezek alapján a határidő megtartott.</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Határozat jogsértő voltának bemutatása</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sz w:val="24"/>
          <w:szCs w:val="24"/>
          <w:rtl w:val="0"/>
        </w:rPr>
        <w:t xml:space="preserve">A Kérelmező álláspontja szerint a Határozat sérti az Alaptörvényt és jogszabálysértő, mivel az egyik választókerületben a választásra jogosultak száma a törvényes határon túl tér el a választókerületi átlagtól.</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választókerületek kialakításával kapcsolatban mind alkotmányos, mind pedig explicite törvényi elvárás az, hogy az egyes kerületekben a választásra jogosultak száma megközelítőleg azonos legyen, valamint, hogy az eltérés ne lépjen túl bizonyos határokat. Ez az Alaptörvény XXIII. cikkben foglalt választójog XV. cikkből következő, 2. cikk (1) bekezdésében pedig kifejezetten említett egyenlőségéből következik. Az Alkotmánybíróság a választókerületekkel kapcsolatos 22/2005. (VI. 17.) határozatában (a továbbiakban: Abh.) kifejtette </w:t>
      </w:r>
      <w:r w:rsidDel="00000000" w:rsidR="00000000" w:rsidRPr="00000000">
        <w:rPr>
          <w:rFonts w:ascii="Times New Roman" w:cs="Times New Roman" w:eastAsia="Times New Roman" w:hAnsi="Times New Roman"/>
          <w:i w:val="1"/>
          <w:sz w:val="24"/>
          <w:szCs w:val="24"/>
          <w:rtl w:val="0"/>
        </w:rPr>
        <w:t xml:space="preserve">“az egyéni választókerületekben a választásra jogosultak száma a lehető legkisebb mértékben és csak megfelelő alkotmányos indokkal térhet el egymástól.”</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Ezen alkotmányos követelmények konzekvenciáit vonja le a törvényi szabályozás is. A Ve. 306/A. § (2) b) pontja alapján az egyéni választókerületeket úgy kell kialakítani, hogy a választásra jogosultak száma megközelítőleg azonos legyen. Ugyanezen szakasz (3) bekezdése alapján az egyéni választókerületek kialakításakor az egyéni választókerület választásra jogosultjainak száma a településen egy egyéni választókerületre jutó választásra jogosultak számtani átlagától – a településszerkezeti, földrajzi és egyéb helyi sajátosságokra figyelemmel – legfeljebb tizenöt százalékkal térhet el.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Nem megengedhető tehát a 15 százaléknál nagyobb eltérés, ugyanakkor a tényállásban kifejtettek szerint az </w:t>
      </w:r>
      <w:r w:rsidDel="00000000" w:rsidR="00000000" w:rsidRPr="00000000">
        <w:rPr>
          <w:rFonts w:ascii="Times New Roman" w:cs="Times New Roman" w:eastAsia="Times New Roman" w:hAnsi="Times New Roman"/>
          <w:sz w:val="24"/>
          <w:szCs w:val="24"/>
          <w:highlight w:val="yellow"/>
          <w:rtl w:val="0"/>
        </w:rPr>
        <w:t xml:space="preserve">[X. EVK]</w:t>
      </w:r>
      <w:r w:rsidDel="00000000" w:rsidR="00000000" w:rsidRPr="00000000">
        <w:rPr>
          <w:rFonts w:ascii="Times New Roman" w:cs="Times New Roman" w:eastAsia="Times New Roman" w:hAnsi="Times New Roman"/>
          <w:sz w:val="24"/>
          <w:szCs w:val="24"/>
          <w:rtl w:val="0"/>
        </w:rPr>
        <w:t xml:space="preserve"> választásra jogosultjainak száma több, mint 15 százalékkal tér el </w:t>
      </w:r>
      <w:r w:rsidDel="00000000" w:rsidR="00000000" w:rsidRPr="00000000">
        <w:rPr>
          <w:rFonts w:ascii="Times New Roman" w:cs="Times New Roman" w:eastAsia="Times New Roman" w:hAnsi="Times New Roman"/>
          <w:sz w:val="24"/>
          <w:szCs w:val="24"/>
          <w:rtl w:val="0"/>
        </w:rPr>
        <w:t xml:space="preserve">felfelé</w:t>
      </w:r>
      <w:r w:rsidDel="00000000" w:rsidR="00000000" w:rsidRPr="00000000">
        <w:rPr>
          <w:rFonts w:ascii="Times New Roman" w:cs="Times New Roman" w:eastAsia="Times New Roman" w:hAnsi="Times New Roman"/>
          <w:sz w:val="24"/>
          <w:szCs w:val="24"/>
          <w:rtl w:val="0"/>
        </w:rPr>
        <w:t xml:space="preserve"> a számtani átlaghoz képest, amely eltérés semmilyen indokból (legyen az akár településszerkezeti, földrajzi, vagy egyéb helyi sajátosság) nem megengedhető. </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right="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Ezáltal az </w:t>
      </w:r>
      <w:r w:rsidDel="00000000" w:rsidR="00000000" w:rsidRPr="00000000">
        <w:rPr>
          <w:rFonts w:ascii="Times New Roman" w:cs="Times New Roman" w:eastAsia="Times New Roman" w:hAnsi="Times New Roman"/>
          <w:sz w:val="24"/>
          <w:szCs w:val="24"/>
          <w:highlight w:val="yellow"/>
          <w:rtl w:val="0"/>
        </w:rPr>
        <w:t xml:space="preserve">[X. EVK]</w:t>
      </w:r>
      <w:r w:rsidDel="00000000" w:rsidR="00000000" w:rsidRPr="00000000">
        <w:rPr>
          <w:rFonts w:ascii="Times New Roman" w:cs="Times New Roman" w:eastAsia="Times New Roman" w:hAnsi="Times New Roman"/>
          <w:sz w:val="24"/>
          <w:szCs w:val="24"/>
          <w:rtl w:val="0"/>
        </w:rPr>
        <w:t xml:space="preserve"> tekintetében a Határozat ellentétes a Ve. 306/A. § (2) bekezdés b) pontjával, 306/A. § (3) bekezdésével, valamint az Alaptörvény XXIII. cikk (1)-(3) bekezdésével, XV. cikk (1) bekezdésével, valamint 2. cikk (1) bekezdésével.</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i w:val="1"/>
          <w:sz w:val="24"/>
          <w:szCs w:val="24"/>
          <w:u w:val="none"/>
        </w:rPr>
      </w:pPr>
      <w:r w:rsidDel="00000000" w:rsidR="00000000" w:rsidRPr="00000000">
        <w:rPr>
          <w:rFonts w:ascii="Times New Roman" w:cs="Times New Roman" w:eastAsia="Times New Roman" w:hAnsi="Times New Roman"/>
          <w:i w:val="1"/>
          <w:sz w:val="24"/>
          <w:szCs w:val="24"/>
          <w:rtl w:val="0"/>
        </w:rPr>
        <w:t xml:space="preserve">Egyéb nyilatkozatok</w:t>
      </w:r>
    </w:p>
    <w:p w:rsidR="00000000" w:rsidDel="00000000" w:rsidP="00000000" w:rsidRDefault="00000000" w:rsidRPr="00000000" w14:paraId="0000001A">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Kérelmező jogi képviselője az ügyvédi tevékenységről szóló 2017. évi LXXVIII. törvény (Ütv.) 34. § (1), (2) és (3) bekezdései alapján illeti meg a képviseleti jog, amelyet az F/1. számú mellékletként csatolt ügyvédi meghatalmazás igazol.</w:t>
      </w:r>
    </w:p>
    <w:p w:rsidR="00000000" w:rsidDel="00000000" w:rsidP="00000000" w:rsidRDefault="00000000" w:rsidRPr="00000000" w14:paraId="0000001B">
      <w:pPr>
        <w:spacing w:after="20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Kérelmező hivatkozik arra, hogy az eljárás a 1990. évi XCIII. törvény (Itv.) 28. § (1) bekezdése alapján – figyelemmel az Itv. 2. mellékletének XIII. 8. pontjára – illetékmentes. </w:t>
      </w:r>
      <w:r w:rsidDel="00000000" w:rsidR="00000000" w:rsidRPr="00000000">
        <w:rPr>
          <w:rtl w:val="0"/>
        </w:rPr>
      </w:r>
    </w:p>
    <w:p w:rsidR="00000000" w:rsidDel="00000000" w:rsidP="00000000" w:rsidRDefault="00000000" w:rsidRPr="00000000" w14:paraId="0000001C">
      <w:pPr>
        <w:spacing w:after="200"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[VÁROS NEVE]</w:t>
      </w:r>
      <w:r w:rsidDel="00000000" w:rsidR="00000000" w:rsidRPr="00000000">
        <w:rPr>
          <w:rFonts w:ascii="Times New Roman" w:cs="Times New Roman" w:eastAsia="Times New Roman" w:hAnsi="Times New Roman"/>
          <w:sz w:val="24"/>
          <w:szCs w:val="24"/>
          <w:rtl w:val="0"/>
        </w:rPr>
        <w:t xml:space="preserve">, 2023.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E">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Tisztelettel,</w:t>
      </w:r>
    </w:p>
    <w:p w:rsidR="00000000" w:rsidDel="00000000" w:rsidP="00000000" w:rsidRDefault="00000000" w:rsidRPr="00000000" w14:paraId="00000020">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Képv.: </w:t>
      </w:r>
    </w:p>
    <w:p w:rsidR="00000000" w:rsidDel="00000000" w:rsidP="00000000" w:rsidRDefault="00000000" w:rsidRPr="00000000" w14:paraId="00000021">
      <w:pPr>
        <w:spacing w:line="276"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ab/>
        <w:tab/>
        <w:tab/>
        <w:tab/>
        <w:tab/>
        <w:tab/>
        <w:tab/>
        <w:tab/>
        <w:t xml:space="preserve">dr. </w:t>
      </w:r>
      <w:r w:rsidDel="00000000" w:rsidR="00000000" w:rsidRPr="00000000">
        <w:rPr>
          <w:rFonts w:ascii="Times New Roman" w:cs="Times New Roman" w:eastAsia="Times New Roman" w:hAnsi="Times New Roman"/>
          <w:sz w:val="24"/>
          <w:szCs w:val="24"/>
          <w:highlight w:val="yellow"/>
          <w:rtl w:val="0"/>
        </w:rPr>
        <w:t xml:space="preserve">[...]</w:t>
      </w:r>
    </w:p>
    <w:p w:rsidR="00000000" w:rsidDel="00000000" w:rsidP="00000000" w:rsidRDefault="00000000" w:rsidRPr="00000000" w14:paraId="00000022">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ab/>
        <w:tab/>
        <w:tab/>
        <w:tab/>
        <w:tab/>
        <w:tab/>
        <w:t xml:space="preserve">elektronikus aláírással ellátva</w:t>
      </w:r>
    </w:p>
    <w:p w:rsidR="00000000" w:rsidDel="00000000" w:rsidP="00000000" w:rsidRDefault="00000000" w:rsidRPr="00000000" w14:paraId="00000023">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Mellékletek:</w:t>
      </w:r>
    </w:p>
    <w:p w:rsidR="00000000" w:rsidDel="00000000" w:rsidP="00000000" w:rsidRDefault="00000000" w:rsidRPr="00000000" w14:paraId="00000024">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F/1. - Ügyvédi meghatalmazás</w:t>
      </w:r>
    </w:p>
    <w:p w:rsidR="00000000" w:rsidDel="00000000" w:rsidP="00000000" w:rsidRDefault="00000000" w:rsidRPr="00000000" w14:paraId="00000025">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F/2. - </w:t>
      </w:r>
      <w:r w:rsidDel="00000000" w:rsidR="00000000" w:rsidRPr="00000000">
        <w:rPr>
          <w:rFonts w:ascii="Times New Roman" w:cs="Times New Roman" w:eastAsia="Times New Roman" w:hAnsi="Times New Roman"/>
          <w:sz w:val="24"/>
          <w:szCs w:val="24"/>
          <w:highlight w:val="yellow"/>
          <w:rtl w:val="0"/>
        </w:rPr>
        <w:t xml:space="preserve">[Város Neve]</w:t>
      </w:r>
      <w:r w:rsidDel="00000000" w:rsidR="00000000" w:rsidRPr="00000000">
        <w:rPr>
          <w:rFonts w:ascii="Times New Roman" w:cs="Times New Roman" w:eastAsia="Times New Roman" w:hAnsi="Times New Roman"/>
          <w:sz w:val="24"/>
          <w:szCs w:val="24"/>
          <w:rtl w:val="0"/>
        </w:rPr>
        <w:t xml:space="preserve"> Helyi Választási Iroda vezetőjének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/2023. (</w:t>
      </w:r>
      <w:r w:rsidDel="00000000" w:rsidR="00000000" w:rsidRPr="00000000">
        <w:rPr>
          <w:rFonts w:ascii="Times New Roman" w:cs="Times New Roman" w:eastAsia="Times New Roman" w:hAnsi="Times New Roman"/>
          <w:sz w:val="24"/>
          <w:szCs w:val="24"/>
          <w:highlight w:val="yellow"/>
          <w:rtl w:val="0"/>
        </w:rPr>
        <w:t xml:space="preserve">[...]</w:t>
      </w:r>
      <w:r w:rsidDel="00000000" w:rsidR="00000000" w:rsidRPr="00000000">
        <w:rPr>
          <w:rFonts w:ascii="Times New Roman" w:cs="Times New Roman" w:eastAsia="Times New Roman" w:hAnsi="Times New Roman"/>
          <w:sz w:val="24"/>
          <w:szCs w:val="24"/>
          <w:rtl w:val="0"/>
        </w:rPr>
        <w:t xml:space="preserve">) számú határozata, valamint annak melléklete</w:t>
      </w:r>
    </w:p>
    <w:p w:rsidR="00000000" w:rsidDel="00000000" w:rsidP="00000000" w:rsidRDefault="00000000" w:rsidRPr="00000000" w14:paraId="00000026">
      <w:pPr>
        <w:spacing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F/3. - Érintettség igazolása </w:t>
      </w:r>
      <w:r w:rsidDel="00000000" w:rsidR="00000000" w:rsidRPr="00000000">
        <w:rPr>
          <w:rFonts w:ascii="Times New Roman" w:cs="Times New Roman" w:eastAsia="Times New Roman" w:hAnsi="Times New Roman"/>
          <w:sz w:val="24"/>
          <w:szCs w:val="24"/>
          <w:highlight w:val="yellow"/>
          <w:rtl w:val="0"/>
        </w:rPr>
        <w:t xml:space="preserve">[Lakcímkártya másolata]</w:t>
      </w:r>
      <w:r w:rsidDel="00000000" w:rsidR="00000000" w:rsidRPr="00000000">
        <w:rPr>
          <w:rtl w:val="0"/>
        </w:rPr>
      </w:r>
    </w:p>
    <w:p w:rsidR="00000000" w:rsidDel="00000000" w:rsidP="00000000" w:rsidRDefault="00000000" w:rsidRPr="00000000" w14:paraId="00000027">
      <w:pPr>
        <w:spacing w:line="276"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8">
      <w:pPr>
        <w:spacing w:after="160" w:line="259" w:lineRule="auto"/>
        <w:jc w:val="both"/>
        <w:rPr>
          <w:rFonts w:ascii="Times New Roman" w:cs="Times New Roman" w:eastAsia="Times New Roman" w:hAnsi="Times New Roman"/>
          <w:sz w:val="24"/>
          <w:szCs w:val="24"/>
        </w:rPr>
      </w:pPr>
      <w:r w:rsidDel="00000000" w:rsidR="00000000" w:rsidRPr="00000000">
        <w:rPr>
          <w:rtl w:val="0"/>
        </w:rPr>
      </w:r>
    </w:p>
    <w:sectPr>
      <w:footerReference r:id="rId6" w:type="default"/>
      <w:footerReference r:id="rId7" w:type="first"/>
      <w:pgSz w:h="15840" w:w="12240" w:orient="portrait"/>
      <w:pgMar w:bottom="1440"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