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b/>
          <w:bCs/>
          <w:lang w:eastAsia="hu-HU"/>
        </w:rPr>
        <w:t>Szabálysértési eljárást lefolytató rendőri szerv</w:t>
      </w:r>
      <w:proofErr w:type="gramStart"/>
      <w:r w:rsidRPr="00665EBE">
        <w:rPr>
          <w:rFonts w:eastAsia="Times New Roman" w:cstheme="minorHAnsi"/>
          <w:b/>
          <w:bCs/>
          <w:lang w:eastAsia="hu-HU"/>
        </w:rPr>
        <w:t xml:space="preserve">: </w:t>
      </w:r>
      <w:r w:rsidRPr="00665EBE">
        <w:rPr>
          <w:rFonts w:eastAsia="Times New Roman" w:cstheme="minorHAnsi"/>
          <w:b/>
          <w:bCs/>
          <w:highlight w:val="yellow"/>
          <w:lang w:eastAsia="hu-HU"/>
        </w:rPr>
        <w:t>…</w:t>
      </w:r>
      <w:proofErr w:type="gramEnd"/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b/>
          <w:bCs/>
          <w:lang w:eastAsia="hu-HU"/>
        </w:rPr>
        <w:t>Ügyiratszám</w:t>
      </w:r>
      <w:proofErr w:type="gramStart"/>
      <w:r w:rsidRPr="00665EBE">
        <w:rPr>
          <w:rFonts w:eastAsia="Times New Roman" w:cstheme="minorHAnsi"/>
          <w:b/>
          <w:bCs/>
          <w:lang w:eastAsia="hu-HU"/>
        </w:rPr>
        <w:t xml:space="preserve">: </w:t>
      </w:r>
      <w:r w:rsidRPr="00665EBE">
        <w:rPr>
          <w:rFonts w:eastAsia="Times New Roman" w:cstheme="minorHAnsi"/>
          <w:b/>
          <w:bCs/>
          <w:highlight w:val="yellow"/>
          <w:lang w:eastAsia="hu-HU"/>
        </w:rPr>
        <w:t>…</w:t>
      </w:r>
      <w:proofErr w:type="gramEnd"/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lang w:eastAsia="hu-HU"/>
        </w:rPr>
        <w:t>Tisztelt Szabálysértési Hatóság!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br/>
        <w:t>Szabálysértési eljárás indult ellenem </w:t>
      </w:r>
    </w:p>
    <w:p w:rsidR="00665EBE" w:rsidRPr="00665EBE" w:rsidRDefault="00665EBE" w:rsidP="00665EBE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a veszélyhelyzetre meghatározott magatartá</w:t>
      </w:r>
      <w:r>
        <w:rPr>
          <w:rFonts w:eastAsia="Times New Roman" w:cstheme="minorHAnsi"/>
          <w:color w:val="000000"/>
          <w:lang w:eastAsia="hu-HU"/>
        </w:rPr>
        <w:t xml:space="preserve">si szabályok megszegése miatt </w:t>
      </w:r>
      <w:r w:rsidRPr="00665EBE">
        <w:rPr>
          <w:rFonts w:eastAsia="Times New Roman" w:cstheme="minorHAnsi"/>
          <w:color w:val="000000"/>
          <w:lang w:eastAsia="hu-HU"/>
        </w:rPr>
        <w:t>a 46/2020</w:t>
      </w:r>
      <w:r>
        <w:rPr>
          <w:rFonts w:eastAsia="Times New Roman" w:cstheme="minorHAnsi"/>
          <w:color w:val="000000"/>
          <w:lang w:eastAsia="hu-HU"/>
        </w:rPr>
        <w:t>.</w:t>
      </w:r>
      <w:r w:rsidRPr="00665EBE">
        <w:rPr>
          <w:rFonts w:eastAsia="Times New Roman" w:cstheme="minorHAnsi"/>
          <w:color w:val="000000"/>
          <w:lang w:eastAsia="hu-HU"/>
        </w:rPr>
        <w:t xml:space="preserve"> (III.16.) Kormányrendelet 4. § (1) bekezdése alapján, </w:t>
      </w:r>
    </w:p>
    <w:p w:rsidR="00665EBE" w:rsidRPr="00665EBE" w:rsidRDefault="00665EBE" w:rsidP="00665EBE">
      <w:pPr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valamint a kijárási korlátozással kapcsolatos magatartási szabályok megszegése miatt a 71/2020. (III.27.) Kormányrendelet 3. §-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a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alapján.</w:t>
      </w: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 xml:space="preserve"> 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(A fentiek közül csak azt a szabálysértést hagyja benne a vallomásában, amelyet a határozatban megállapítottak</w:t>
      </w:r>
      <w:r>
        <w:rPr>
          <w:rFonts w:eastAsia="Times New Roman" w:cstheme="minorHAnsi"/>
          <w:color w:val="000000"/>
          <w:shd w:val="clear" w:color="auto" w:fill="FFFF00"/>
          <w:lang w:eastAsia="hu-HU"/>
        </w:rPr>
        <w:t>, majd ezt a mondatot törölje</w:t>
      </w: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.)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Az alábbiakban kifejtett érvek alapján </w:t>
      </w:r>
    </w:p>
    <w:p w:rsidR="00665EBE" w:rsidRPr="00665EBE" w:rsidRDefault="00665EBE" w:rsidP="00665EBE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elsődlegesen kérem, hogy 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>. 83. § (1) bekezdés a) pontja alapján a T. Hatóság a szabálysértési eljárást szüntesse meg, mert a cselekmény nem szabálysértés. </w:t>
      </w:r>
    </w:p>
    <w:p w:rsidR="00665EBE" w:rsidRPr="00665EBE" w:rsidRDefault="00665EBE" w:rsidP="00665EBE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Amennyiben a T. Hatóság erre nem lát lehetőséget, úgy másodlagosan kérem, hogy a cselekmény csekély tárgyi súlyára tekintettel 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20. § (1) bekezdésére tekintettel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figyelmeztetés intézkedést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alkalmazza. </w:t>
      </w:r>
    </w:p>
    <w:p w:rsidR="00665EBE" w:rsidRDefault="00665EBE" w:rsidP="00665EBE">
      <w:pPr>
        <w:numPr>
          <w:ilvl w:val="0"/>
          <w:numId w:val="2"/>
        </w:numPr>
        <w:spacing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Amennyiben a T. Hatóság arra sem lát lehetőséget, hogy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figyelmeztetés intézkedést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alkalmazza, úgy harmadlagosan kérem, hogy a cselekmény társadalomra veszélyességének csekély fokára, </w:t>
      </w:r>
      <w:r w:rsidRPr="00665EBE">
        <w:rPr>
          <w:rFonts w:eastAsia="Times New Roman" w:cstheme="minorHAnsi"/>
          <w:color w:val="000000"/>
          <w:highlight w:val="yellow"/>
          <w:lang w:eastAsia="hu-HU"/>
        </w:rPr>
        <w:t>valamint személyi körülményeimre</w:t>
      </w:r>
      <w:r w:rsidRPr="00665EBE">
        <w:rPr>
          <w:rFonts w:eastAsia="Times New Roman" w:cstheme="minorHAnsi"/>
          <w:color w:val="000000"/>
          <w:lang w:eastAsia="hu-HU"/>
        </w:rPr>
        <w:t xml:space="preserve"> való tekintettel csökkentse a pénzbírság mértékét.</w:t>
      </w:r>
    </w:p>
    <w:p w:rsidR="00665EBE" w:rsidRPr="00665EBE" w:rsidRDefault="00665EBE" w:rsidP="00665EBE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665EBE">
        <w:rPr>
          <w:rFonts w:eastAsia="Times New Roman" w:cstheme="minorHAnsi"/>
          <w:color w:val="000000"/>
          <w:highlight w:val="yellow"/>
          <w:lang w:eastAsia="hu-HU"/>
        </w:rPr>
        <w:t>(A sárgával kiemelt utolsó mondatrészt csak abban az esetben hagyja meg a szövegben, ha a vallomás végén kíván nyilatkozni a személyi körülményeiről (lásd 4-es pont), majd ezt a mondatot törölje.)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numPr>
          <w:ilvl w:val="0"/>
          <w:numId w:val="3"/>
        </w:numPr>
        <w:spacing w:line="276" w:lineRule="auto"/>
        <w:ind w:left="405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lang w:eastAsia="hu-HU"/>
        </w:rPr>
        <w:t>A tényállás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 szabálysértési tényállásban megjelölt időben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Budapest,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I. kerületi Clark Ádám térre mentem gyalogosan, abból  a célból, hogy az ott meghirdetett tiltakozó eseményen véleménynyilvánítási céllal vegyek részt. </w:t>
      </w: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Itt írja le, mi történt pontosan a rendőrök intézkedése előtt.</w:t>
      </w:r>
    </w:p>
    <w:p w:rsidR="00665EBE" w:rsidRPr="00665EBE" w:rsidRDefault="00665EBE" w:rsidP="00665EBE">
      <w:pPr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lang w:eastAsia="hu-HU"/>
        </w:rPr>
        <w:t>A cselekmény nem szabálysértés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1. §-a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definiálja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a szabálysértés fogalmát, amelynek egyik eleme a társadalomra veszélyesség. </w:t>
      </w:r>
      <w:r w:rsidRPr="00665EBE">
        <w:rPr>
          <w:rFonts w:eastAsia="Times New Roman" w:cstheme="minorHAnsi"/>
          <w:color w:val="000000"/>
          <w:u w:val="single"/>
          <w:lang w:eastAsia="hu-HU"/>
        </w:rPr>
        <w:t>Társadalomra veszélyesség nélkül tehát nincs szabálysértés</w:t>
      </w:r>
      <w:r w:rsidRPr="00665EBE">
        <w:rPr>
          <w:rFonts w:eastAsia="Times New Roman" w:cstheme="minorHAnsi"/>
          <w:color w:val="000000"/>
          <w:lang w:eastAsia="hu-HU"/>
        </w:rPr>
        <w:t xml:space="preserve">. A szabálysértés a törvényi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definíciója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alapján a szabálysértés tényállásszerű és társadalomra veszélyes cselekmény. A törvényben rögzített társadalomra veszélyesség két összetevőből áll: a cselekmény a bűncselekményként történő büntetni rendeléshez szükségesnél kisebb fokban sérti vagy veszélyezteti Magyarország állami, társadalmi vagy gazdasági rendjét, a természetes és jogi személyek, valamint</w:t>
      </w:r>
      <w:r w:rsidRPr="00665EBE">
        <w:rPr>
          <w:rFonts w:eastAsia="Times New Roman" w:cstheme="minorHAnsi"/>
          <w:b/>
          <w:bCs/>
          <w:color w:val="000000"/>
          <w:lang w:eastAsia="hu-HU"/>
        </w:rPr>
        <w:t xml:space="preserve"> </w:t>
      </w:r>
      <w:r w:rsidRPr="00665EBE">
        <w:rPr>
          <w:rFonts w:eastAsia="Times New Roman" w:cstheme="minorHAnsi"/>
          <w:color w:val="000000"/>
          <w:lang w:eastAsia="hu-HU"/>
        </w:rPr>
        <w:t xml:space="preserve">a jogi személyiség nélküli szervezetek személyét vagy jogait, ÉS amelyre 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szabálysértési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elzárás büntetés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kiszabását is lehetővé teszi, vagy járművezetéstől eltiltás alkalmazását kötelezően elrendeli.</w:t>
      </w:r>
      <w:r w:rsidRPr="00665EBE">
        <w:rPr>
          <w:rFonts w:eastAsia="Times New Roman" w:cstheme="minorHAnsi"/>
          <w:b/>
          <w:bCs/>
          <w:color w:val="000000"/>
          <w:lang w:eastAsia="hu-HU"/>
        </w:rPr>
        <w:t xml:space="preserve"> </w:t>
      </w:r>
      <w:r w:rsidRPr="00665EBE">
        <w:rPr>
          <w:rFonts w:eastAsia="Times New Roman" w:cstheme="minorHAnsi"/>
          <w:color w:val="000000"/>
          <w:lang w:eastAsia="hu-HU"/>
        </w:rPr>
        <w:t xml:space="preserve">A két feltétel konjunktív feltételként szerepel a törvényben, ami azt jelenti, hogy együttesen kell fennállniuk, hogy </w:t>
      </w:r>
      <w:r w:rsidRPr="00665EBE">
        <w:rPr>
          <w:rFonts w:eastAsia="Times New Roman" w:cstheme="minorHAnsi"/>
          <w:color w:val="000000"/>
          <w:lang w:eastAsia="hu-HU"/>
        </w:rPr>
        <w:lastRenderedPageBreak/>
        <w:t xml:space="preserve">egy konkrét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magatartásra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társadalomra veszélyesként lehessen tekinteni; bármelyik hiánya kizárja ennek lehetőségét. 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Az alaki jogellenesség szerint az eljárás alá vont személy szabálysértési normában rögzített cselekvési vagy magatartási formától való tartózkodási kötelezettségét megszegi. Ennek vizsgálata az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objektív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tényállási elemek értékelésével végezhető el. </w:t>
      </w:r>
      <w:r w:rsidRPr="00665EBE">
        <w:rPr>
          <w:rFonts w:eastAsia="Times New Roman" w:cstheme="minorHAnsi"/>
          <w:color w:val="000000"/>
          <w:u w:val="single"/>
          <w:lang w:eastAsia="hu-HU"/>
        </w:rPr>
        <w:t xml:space="preserve">Az alaki jogellenesség azonban nem ad választ arra, hogy miért nyilvánít a jogalkotó egy cselekményt jogellenessé, illetve, hogy ennek az indoknak a </w:t>
      </w:r>
      <w:proofErr w:type="gramStart"/>
      <w:r w:rsidRPr="00665EBE">
        <w:rPr>
          <w:rFonts w:eastAsia="Times New Roman" w:cstheme="minorHAnsi"/>
          <w:color w:val="000000"/>
          <w:u w:val="single"/>
          <w:lang w:eastAsia="hu-HU"/>
        </w:rPr>
        <w:t>konkrét</w:t>
      </w:r>
      <w:proofErr w:type="gramEnd"/>
      <w:r w:rsidRPr="00665EBE">
        <w:rPr>
          <w:rFonts w:eastAsia="Times New Roman" w:cstheme="minorHAnsi"/>
          <w:color w:val="000000"/>
          <w:u w:val="single"/>
          <w:lang w:eastAsia="hu-HU"/>
        </w:rPr>
        <w:t xml:space="preserve"> esetben történő igazolhatósága fennáll-e.</w:t>
      </w:r>
      <w:r w:rsidRPr="00665EBE">
        <w:rPr>
          <w:rFonts w:eastAsia="Times New Roman" w:cstheme="minorHAnsi"/>
          <w:color w:val="000000"/>
          <w:lang w:eastAsia="hu-HU"/>
        </w:rPr>
        <w:t xml:space="preserve"> Ezt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materiális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jogellenesség, azaz a társadalomra veszélyesség - vizsgálata után lehet megnyugtatóan rendezni, ez biztosítja ugyanis, hogy az alaki jogellenesség tartalmi elemeinek indoka és a tételes jog alkalmazása igazolva van.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br/>
        <w:t xml:space="preserve">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dogmatikai rendszerében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materiális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jogellenesség a társadalomra veszélyesség vizsgálatát jelenti. A társadalomra veszélyesség nem más, mint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kodifikált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materiális jogellenesség, amelynek hiányában nem állapítható meg szabálysértés. A szabálysértés nem önmagában, hanem a </w:t>
      </w:r>
      <w:r w:rsidRPr="00665EBE">
        <w:rPr>
          <w:rFonts w:eastAsia="Times New Roman" w:cstheme="minorHAnsi"/>
          <w:color w:val="000000"/>
          <w:u w:val="single"/>
          <w:lang w:eastAsia="hu-HU"/>
        </w:rPr>
        <w:t>védett jogi tárgyra való kihatásában veszélyes a társadalomra.</w:t>
      </w:r>
      <w:r w:rsidRPr="00665EBE">
        <w:rPr>
          <w:rFonts w:eastAsia="Times New Roman" w:cstheme="minorHAnsi"/>
          <w:color w:val="000000"/>
          <w:lang w:eastAsia="hu-HU"/>
        </w:rPr>
        <w:t xml:space="preserve"> A társadalomra veszélyesség jellegét és fokát alapvetően az egyik oldalról az alapjog-gyakorlás jelentősége és a demokratikus társadalmakban betöltött szerepe, a másik oldalról pedig a támadott jogtárgy jelentősége és az azt ért sérelem foka határozza meg</w:t>
      </w:r>
      <w:r w:rsidRPr="00665EBE">
        <w:rPr>
          <w:rFonts w:eastAsia="Times New Roman" w:cstheme="minorHAnsi"/>
          <w:color w:val="000000"/>
          <w:u w:val="single"/>
          <w:lang w:eastAsia="hu-HU"/>
        </w:rPr>
        <w:t>.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 társadalomra veszélyesség körében érdemes felidézni az Alkotmánybíróság közelmúlt-béli gyakorlatát a szabálysértési jog rendelkezései és a véleménynyilvánítás szabadsága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konfliktusa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kapcsán.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Egy köztisztasági szabálysértéssel kapcsolatos ügyben a</w:t>
      </w:r>
      <w:r w:rsidRPr="00665EBE">
        <w:rPr>
          <w:rFonts w:eastAsia="Times New Roman" w:cstheme="minorHAnsi"/>
          <w:color w:val="000000"/>
          <w:u w:val="single"/>
          <w:lang w:eastAsia="hu-HU"/>
        </w:rPr>
        <w:t xml:space="preserve"> 14/2019. (IV. 17.) AB határozatban </w:t>
      </w:r>
      <w:r w:rsidRPr="00665EBE">
        <w:rPr>
          <w:rFonts w:eastAsia="Times New Roman" w:cstheme="minorHAnsi"/>
          <w:color w:val="000000"/>
          <w:lang w:eastAsia="hu-HU"/>
        </w:rPr>
        <w:t xml:space="preserve">az Alkotmánybíróság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kategorikusan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foglalt állást a társadalomra veszélyesség hiánya mellett. 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“[21] Az Alkotmánybíróság mindenekelőtt fontosnak tartja kiemelni azt az 1/2019. (II. 13.) AB határozatában már rögzített szempontot, miszerint egy cselekmény büntethetőségének a megítélése során arra is figyelemmel kell lenni, hogy bár a Büntető Törvénykönyvről szóló 2012. évi C. törvény (a továbbiakban: Btk.) és 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tv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.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is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(többek között) az alkotmányos (az Alaptörvény szerinti társadalmi, gazdasági, állami) rend sérelméhez, illetve annak veszélyeztetéséhez köti az egyes cselekmények társadalomra veszélyességének megítélését, amennyiben egy cselekmény az Alaptörvény által védett alapjog-gyakorlásnak minősül (így pl. a véleménynyilvánítás szabadságának körébe esik), eleve kizárt annak társadalomra veszélyessége {lásd: 1/2019. (II. 13.) AB határozat, Indokolás [44]}.”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Ennek megítéléshez az eljáró bírónak vizsgálnia kell, hogy az adott cselekmény a szólásszabadság által védett tevékenységek körébe tartozik-e. Ehhez is nyújt azonban támpontot az Alkotmánybíróság.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“[26] 2.2. A fentiekre tekintettel az Alkotmánybíróság hangsúlyozza, hogy annak megítélése, hogy az adott kommunikatív cselekmény valóban a szólásszabadság hatálya alá tartozik-e, több tényező összetett értékelése alapján dönthető csak el. Az Alkotmánybíróság az 1/2019. (II. 13.) AB határozatában kiemelte, hogy egy tett véleménynyilvánításként kezelésének szükséges, de semmiképp sem elégséges feltétele, hogy a cselekményt elkövető a véleménye kifejezésének céljából cselekedjen – annak ellenére, hogy egy tett véleményszabadság oldaláról történő megítélése szempontjából a jogalkalmazónak elsődlegesen azt kell vizsgálnia, hogy a cselekvőnek mi volt a célja, illetve motívuma a cselekvése során. A véleményszabadság alkalmazásához ugyanis az is szükséges, hogy a közlés </w:t>
      </w:r>
      <w:r w:rsidRPr="00665EBE">
        <w:rPr>
          <w:rFonts w:eastAsia="Times New Roman" w:cstheme="minorHAnsi"/>
          <w:color w:val="000000"/>
          <w:lang w:eastAsia="hu-HU"/>
        </w:rPr>
        <w:lastRenderedPageBreak/>
        <w:t xml:space="preserve">választott formája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objektív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módon is alkalmasnak tekinthető eszköze, közvetítője legyen gondolatok közlésének {1/2019. (II. 13.) AB határozat, Indokolás [36]}.”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“[33] Annak megítélése tehát, hogy adott esetben a véleménynyilvánítás szabadságának hatálya alatt vizsgálandó, erős alkotmányos védelemre igényt tartó cselekményről, avagy vandalizmusról van-e szó, az egyedi tényállás elemei alapján a bíróságok feladata. E tekintetben azonban jelentősége van annak, hogy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konkrét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cselekmény mind a „véleménynyilvánító” személy szubjektív szándéka, mind az objektív értékelés szerint – legalább hipotetikusan – a nyilvánosság előtt értelmezhető közlés-e.”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Az alábbiakban kifejtettek szerint tevékenységem egyértelmű közéleti kommunikációs célt és üzenetet hordozott, ami a külvilág számára is felismerhető volt, így a véleménynyilvánítás körébe tartozott, amely a véleménynyilvánítás szabadságának alkotmányos védelme alatt áll, következésképpen nem lehet veszélyes a társadalomra, így szabálysértésként nem is büntetendő cselekmény.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Default="00665EBE" w:rsidP="00665EBE">
      <w:pPr>
        <w:spacing w:line="276" w:lineRule="auto"/>
        <w:jc w:val="both"/>
        <w:rPr>
          <w:rFonts w:eastAsia="Times New Roman" w:cstheme="minorHAnsi"/>
          <w:b/>
          <w:bCs/>
          <w:color w:val="000000"/>
          <w:lang w:eastAsia="hu-HU"/>
        </w:rPr>
      </w:pP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lang w:eastAsia="hu-HU"/>
        </w:rPr>
        <w:t>A veszélyhelyzetre meghatározott magatartási szabályok megszegése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A 46/2020. (III. 16.) kormányrendelet 4. § (1) bekezdése szerint rendezvény helyszínén a résztvevők számától és a rendezvény helyszínétől függetlenül tilos tartózkodni. Gyűlés helyszínén tartózkodás tilos.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 határozatban megjelölt “rendezvény” kétségkívül a résztvevők közös politikai véleménynyilvánításának számított, azonban megítélésem szerint az nem volt veszélyes a társadalomra. A gyülekezési szabadság fent ismertetett korlátozása nem jelenti azt, hogy a köztéri véleménynyilvánítás minden formája tilos lenne. Az Alaptörvénnyel ugyanis csakis egy olyan mértékű korlátozás egyeztethető össze, amelyik az elérni kívánt cél - jelen esetben a járvány elleni védekezés  - eléréséhez feltétlenül szükséges és azzal arányban áll. </w:t>
      </w:r>
      <w:r w:rsidRPr="00665EBE">
        <w:rPr>
          <w:rFonts w:eastAsia="Times New Roman" w:cstheme="minorHAnsi"/>
          <w:i/>
          <w:iCs/>
          <w:color w:val="000000"/>
          <w:shd w:val="clear" w:color="auto" w:fill="FFFFFF"/>
          <w:lang w:eastAsia="hu-HU"/>
        </w:rPr>
        <w:t>Alapvető jog más alapvető jog érvényesülése vagy valamely alkotmányos érték védelme érdekében, a feltétlenül szükséges mértékben, az elérni kívánt céllal arányosan, az alapvető jog lényeges tartalmának tiszteletben tartásával korlátozható</w:t>
      </w:r>
      <w:r w:rsidRPr="00665EBE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 [Alaptörvény I. cikk (3) bekezdés].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Míg nem különleges jogrendben is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korlátozhatóak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 alapjogaink, a veszélyhelyzetben a jogkorlátozásra az Alaptörvény is szélesebb mozgásteret enged. A veszélyhelyzet idején az alapvető jogok korlátozását kivételesen az Alaptörvény I. cikk (3) bekezdése szerinti mértéken túl is korlátozhatóvá teszi [Alaptörvény 54. cikk (1) bekezdés]. Ez azonban nem jelenti azt, hogy az alapjogok korlátozásának a veszélyhelyzetben nem lenne mércéje, nem jelentheti azt, hogy az alapjogok bármilyen korlátozása alkotmányos lenne. Bár az Alaptörvény a veszélyhelyzetben az alapjogok korlátozásának szigorú szükségességi és arányossági követelményeit fellazítja, nem érinti az Alaptörvénynek a jogállamiságra vonatkozó követelményét [Alaptörvény B cikk (1) bekezdés]. A jogállamiság pedig kizárja az önkényes hatalomgyakorlást. Ezért még a járvány okozta veszélyhelyzetben sem lehet olyan önkényes jogkorlátozásokat előírni, amelyek nem alkalmasak a járványveszély csökkentésére vagy következményeinek elhárítására. A korlátozások a veszély elhárításához képest nem lehetnek szélsőségesen aránytalanok. Amennyiben ezeknek a feltételeknek a különleges jogrendi intézkedések nem felelnek meg, úgy nem is alkotmányosak. A közterületi véleménynyilvánítás szabadságának gyakorlása tehát csak akkor korlátozható a veszélyhelyzetben is, ha az a különleges jogrend alapjául szolgáló helyzet, tehát a veszély elhárítását szolgálja, és a korlátozás észszerű kapcsolatban áll a járványveszély elhárításával.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lastRenderedPageBreak/>
        <w:t xml:space="preserve">A járvánnyal szembeni védekezés hatékonysága tehát vitathatatlanul megkövetel bizonyos korlátozásokat, de csak annyit, amennyi valóban szükséges a védekezéshez. A fertőzésveszély csökkentése valóban indokolhatja a személyes jelenléttel járó, hagyományos gyűlések korlátozását, </w:t>
      </w:r>
      <w:r w:rsidRPr="00665EBE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a tilalom arányossága azonban még ezekben az esetekben is attól függ, hogy egy </w:t>
      </w:r>
      <w:proofErr w:type="gramStart"/>
      <w:r w:rsidRPr="00665EBE">
        <w:rPr>
          <w:rFonts w:eastAsia="Times New Roman" w:cstheme="minorHAnsi"/>
          <w:color w:val="000000"/>
          <w:shd w:val="clear" w:color="auto" w:fill="FFFFFF"/>
          <w:lang w:eastAsia="hu-HU"/>
        </w:rPr>
        <w:t>konkrét</w:t>
      </w:r>
      <w:proofErr w:type="gramEnd"/>
      <w:r w:rsidRPr="00665EBE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 tüntetésen való részvétel növeli-e egyáltalán a fertőzésveszélyt (amit befolyásolhat többek között a jelenlévők létszáma, védőfelszerelése, illetve a megfelelő távolság tartása).</w:t>
      </w:r>
      <w:r w:rsidRPr="00665EBE">
        <w:rPr>
          <w:rFonts w:eastAsia="Times New Roman" w:cstheme="minorHAnsi"/>
          <w:color w:val="000000"/>
          <w:lang w:eastAsia="hu-HU"/>
        </w:rPr>
        <w:t>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Szeretném felhívni a T. Hatóság figyelmét arra, hogy az esemény helyszínén való tartózkodásom során a kijárási korlátozás biztonsági rendelkezéseinek megfelelően jártam el, a többi résztvevőtől mindvégig megtartottam a másfél méteres távolságot, valamint előzetesen meggyőződtem arról, hogy a helyszínen tartózkodó emberek csekély létszáma miatt jelenlétemmel nem járulok hozzá a járvány terjedéséhez. A veszélyhelyzetre meghatározott magatartási szabályok kapcsán is érvényesek a társadalomra veszélyesség kapcsán kifejtettek: az olyan magatartások, amelyek nem alkalmasak a járvány terjesztésére, a társadalomra sem veszélyesek, következésképpen szabálysértés elkövetésére sem alkalmasak.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E körben megjegyezni kívánom, hogy mivel a Magyarországon jelenleg érvényben lévő veszélyhelyzet miatt korlátozott a politikai véleménynyilvánítás szabadsága, így a T. Hatóságnak éppen, hogy szélesebb körben kell biztosítania azokat a társadalomra veszélytelen eszközöket, amelyekkel élhetnek azok a polgárok, akik a mostani helyzetben is szeretnének felelősen, a járvány kockázatait is figyelembe véve véleményt nyilvánítani.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Megjegyezni kívánom továbbá, hogy alapjogi szempontból aggályos az a jogalkotói megoldás, ami egyfelől lehetővé teszi a vallásszabadság nyilvános, szintén több ember együttes jelenlétével járó gyakorlását, a hitéleti tevékenységek engedélyezése által, azonban teljeskörű tilalmat rendel el egy másik alapvető jog, nevezetesen a gyülekezési jog, gyakorlása tekintetében. A gyülekezési jog a kommunikációs alapjogok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kategóriájába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tartozó, kiemelten védett, a demokratikus nyilvánosság kialakításában alapvető jelentőségű alapjog, mivel a politikai vagy más vélemény csoportos kinyilvánítására biztosít úgy lehetőséget, hogy az a külvilág számára is látványosan érzékelhető formában történik. </w:t>
      </w:r>
    </w:p>
    <w:p w:rsidR="00B03585" w:rsidRDefault="00B03585" w:rsidP="00665EBE">
      <w:pPr>
        <w:spacing w:line="276" w:lineRule="auto"/>
        <w:jc w:val="both"/>
        <w:rPr>
          <w:rFonts w:eastAsia="Times New Roman" w:cstheme="minorHAnsi"/>
          <w:b/>
          <w:bCs/>
          <w:color w:val="000000"/>
          <w:lang w:eastAsia="hu-HU"/>
        </w:rPr>
      </w:pP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lang w:eastAsia="hu-HU"/>
        </w:rPr>
        <w:t>A kijárási korlátozással  kapcsolatos magatartási szabályok megszegése</w:t>
      </w:r>
    </w:p>
    <w:p w:rsidR="00665EBE" w:rsidRPr="00665EBE" w:rsidRDefault="00665EBE" w:rsidP="00665EBE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 kihirdetett veszélyhelyzetre tekintettel a Kormány kijárási korlátozást vezetett be, amelynek szabályait a 71/2020. (III. 27.) kormányrendelet tartalmazza. A szabálysértési tényállásban megállapított napon hatályban lévő rendelet szerint a lakóhely, a tartózkodási hely, illetve a magánlakás elhagyására kizárólag alapos indokkal kerülhet sor. A rendelet értelmében alapos indoknak számít többek között a munkavégzés, az egészségügyi ellátás igénybevétele, az egyéni szabadidős sporttevékenység, szabadidős célú gyalogos közlekedés, az élelmiszerüzletben történő vásárlás, a fodrász, a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manikűrös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szolgáltatások igénybevétele, illetve a hitéleti tevékenység. </w:t>
      </w:r>
    </w:p>
    <w:p w:rsidR="00665EBE" w:rsidRPr="00665EBE" w:rsidRDefault="00665EBE" w:rsidP="00665EBE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lang w:eastAsia="hu-HU"/>
        </w:rPr>
        <w:t>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Fontos megjegyezni, hogy a kijárási korlátozás szabályai nem önmagukért valók, hanem azt a célt szolgálják, hogy a társas érintkezéseink csökkentésével lassítsuk a vírus terjedését. A jelenleg érvényben lévő veszélyhelyzetben korlátozott eszközök állnak azon polgárok rendelkezésére, akik szeretnének felelősen, a járvány kockázatait is figyelembe véve véleményt nyilvánítani. Ilyen eszköznek minősül egy olyan esemény, amelynek résztvevői betartják a kijárási korlátozás biztonsági előírásait, </w:t>
      </w:r>
      <w:r w:rsidRPr="00665EBE">
        <w:rPr>
          <w:rFonts w:eastAsia="Times New Roman" w:cstheme="minorHAnsi"/>
          <w:color w:val="000000"/>
          <w:lang w:eastAsia="hu-HU"/>
        </w:rPr>
        <w:lastRenderedPageBreak/>
        <w:t xml:space="preserve">egymástól legalább másfél méteres távolságot tartanak, kerülik az egymással történő fizikai érintkezést, és véleményüknek sípolással, dudálással vagy például transzparensekre írott üzenetekkel adnak nyomatékot – ezzel megfelel a magatartásuk a kijárást korlátozó szabályok céljának. Ugyan a jogalkotó a megengedett magatartások körét - a nyelvtani értelmezés alapján - taxatív listának szánta, az ennek megfelelő jogértelmezés jelen esetben alaptörvény-ellenes lenne. A jogértelmezés, amely azokat a magatartásokat nem tekinti jogszerűnek, amelyek összhangban vannak a szabályozás céljával és egyben alapjoggyakorlást is megvalósítanak, biztosan nem állja ki az alkotmányosság próbáját, hiszen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legitim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cél hiányában korlátoz alapvető jogot, áthágva ezzel az Alaptörvény I. cikk (3) bekezdésében rögzített alapjogi teszt követelményeit.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Álláspontom szerint a kijárási korlátozás szabályainak eleget tettem azáltal, hogy a járdán tartózkodva, másoktól az előírt másfél méteres távolságot mindvégig megtartva fejeztem ki a tiltakozásomat, hiszen magatartásom nem jelentett veszélyt a járvány terjedése szempontjából. 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Amennyiben nem kizárólag véleménynyilvánítási céllal tartózkodott a helyszínen, hanem a kijárási korlátozásnak formailag is megfelelő indokból (pl. bevásárlásból, munkából való hazatérés miatt), akkor azt itt írja le részletesen. 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>Álláspontom szerint ezekből az érvekből következően nem beszélhetünk társadalomra veszélyességről a kérdéses cselekmény kapcsán, így nem állhat fenn szabálysértési felelősség sem.   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lang w:eastAsia="hu-HU"/>
        </w:rPr>
        <w:t>A cselekmény csekély tárgyi súlya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t xml:space="preserve">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20. § (1) bekezdése szerint figyelmeztetés alkalmazásának akkor van helye, ha a szabálysértés az elkövetés körülményeire tekintettel csekély súlyú és ettől az intézkedéstől kellő visszatartó hatás várható. A figyelmeztetéssel a szabálysértési hatóság, illetve a bíróság a rosszallását fejezi ki és felhívja az eljárás alá vont személyt arra, hogy a jövőben tartózkodjon szabálysértés elkövetésétől. 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indokolása szerint a figyelmeztetés az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opportunitás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 eszköze, a jogsértés súlytalansága esetén büntetés helyett alkalmazható, a hatóság rosszallását kifejező, nevelő jellegű intézkedés, amely rámutat az adott jogsértés helytelen voltára és egyben felhívja az elkövető figyelmét arra, hogy a jövőben tartózkodjon a hasonló cselekményektől. Az eljáró hatóságok az ún. bagatell jogsértések akkora tömegével találkoznak </w:t>
      </w:r>
      <w:proofErr w:type="gramStart"/>
      <w:r w:rsidRPr="00665EBE">
        <w:rPr>
          <w:rFonts w:eastAsia="Times New Roman" w:cstheme="minorHAnsi"/>
          <w:color w:val="000000"/>
          <w:lang w:eastAsia="hu-HU"/>
        </w:rPr>
        <w:t>nap</w:t>
      </w:r>
      <w:proofErr w:type="gramEnd"/>
      <w:r w:rsidRPr="00665EBE">
        <w:rPr>
          <w:rFonts w:eastAsia="Times New Roman" w:cstheme="minorHAnsi"/>
          <w:color w:val="000000"/>
          <w:lang w:eastAsia="hu-HU"/>
        </w:rPr>
        <w:t xml:space="preserve"> mint nap, melyek szankcionálása akár még egyszerűsített eljárásban is messze meghaladja a jogalkalmazói kapacitásokat, ugyanakkor e cselekmények egy része az elkövetés sajátos körülményei folytán nyilvánvalóan nem is igényli az eljárás lefolytatását és büntetés kiszabását. A törvény ugyan nem ad részletes szempontokat az intézkedés alkalmazásához, de utal arra, hogy mind a cselekménnyel (tárgyi körülmények), mind pedig az eljárás alá vont személlyel összefüggő (alanyi körülmények) tényezőket mérlegre kell tennie a jogalkalmazónak, ha lemond a büntetés alkalmazásáról. A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 xml:space="preserve">. 21. §-a szerint a büntetést és az intézkedést úgy kell megállapítani, hogy igazodjék a szabálysértés súlyához. Az eljárás alá vont személy személyi körülményeit annyiban kell figyelembe venni, amennyiben azok a szabálysértési hatóság vagy a bíróság rendelkezésére álló adatokból </w:t>
      </w:r>
      <w:proofErr w:type="spellStart"/>
      <w:r w:rsidRPr="00665EBE">
        <w:rPr>
          <w:rFonts w:eastAsia="Times New Roman" w:cstheme="minorHAnsi"/>
          <w:color w:val="000000"/>
          <w:lang w:eastAsia="hu-HU"/>
        </w:rPr>
        <w:t>megállapíthatóak</w:t>
      </w:r>
      <w:proofErr w:type="spellEnd"/>
      <w:r w:rsidRPr="00665EBE">
        <w:rPr>
          <w:rFonts w:eastAsia="Times New Roman" w:cstheme="minorHAnsi"/>
          <w:color w:val="000000"/>
          <w:lang w:eastAsia="hu-HU"/>
        </w:rPr>
        <w:t>. A büntetés kiszabásakor és az intézkedés alkalmazásakor – e törvény, vagy törvény felhatalmazásán alapuló kormányrendelet eltérő rendelkezése hiányában – figyelembe kell venni a szabálysértés elkövetésének időpontját megelőző két éven belül az eljárás alá vont személy szabálysértés miatt történt felelősségre vonását. Enyhítő körülményként kell figyelembe venni az eljárás alá vont személy hatóságokkal való együttműködését.</w:t>
      </w:r>
    </w:p>
    <w:p w:rsidR="00665EBE" w:rsidRDefault="00665EBE" w:rsidP="00665EBE">
      <w:pPr>
        <w:spacing w:line="276" w:lineRule="auto"/>
        <w:jc w:val="both"/>
        <w:rPr>
          <w:rFonts w:eastAsia="Times New Roman" w:cstheme="minorHAnsi"/>
          <w:color w:val="000000"/>
          <w:lang w:eastAsia="hu-HU"/>
        </w:rPr>
      </w:pPr>
      <w:r w:rsidRPr="00665EBE">
        <w:rPr>
          <w:rFonts w:eastAsia="Times New Roman" w:cstheme="minorHAnsi"/>
          <w:color w:val="000000"/>
          <w:lang w:eastAsia="hu-HU"/>
        </w:rPr>
        <w:lastRenderedPageBreak/>
        <w:t>Feltéve, de meg nem engedve, hogy az eljárás alapját képző cselekmény veszélyes a társadalomra, úgyis egyértelműen megállapítható, hogy annak a tárgyi súlya rendkívül csekély. </w:t>
      </w:r>
    </w:p>
    <w:p w:rsidR="00B03585" w:rsidRPr="00665EBE" w:rsidRDefault="00B03585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numPr>
          <w:ilvl w:val="0"/>
          <w:numId w:val="6"/>
        </w:num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shd w:val="clear" w:color="auto" w:fill="FFFF00"/>
          <w:lang w:eastAsia="hu-HU"/>
        </w:rPr>
        <w:t>Nyilatkozat személyes körülményekről</w:t>
      </w: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Itt érdemes nyilatkozni a fizetéséről, az Ön eltartott személyek számáról, valamint minden egyéb olyan személyes körülményről, ami indokolhatja a pénzbírság csökkentését. Lehetőség szerint ezt érdemes okiratokkal is alátámasztani (pl. jövedelmi igazolással, adópapírral stb.). Ha úgy dönt, hogy inkább nem szeretne személyes körülményeiről nyilatkozni, úgy a 4. részt törölje a vallomásából.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b/>
          <w:bCs/>
          <w:color w:val="000000"/>
          <w:lang w:eastAsia="hu-HU"/>
        </w:rPr>
        <w:t>Nyilatkozom, hogy a hamis vád, továbbá a hamis tanúzás következményeit megismertem, azokat tudomásul vettem.</w:t>
      </w:r>
    </w:p>
    <w:p w:rsidR="00665EBE" w:rsidRPr="00665EBE" w:rsidRDefault="00665EBE" w:rsidP="00665EBE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bookmarkStart w:id="0" w:name="_GoBack"/>
      <w:bookmarkEnd w:id="0"/>
    </w:p>
    <w:p w:rsidR="00665EBE" w:rsidRPr="00665EBE" w:rsidRDefault="00665EBE" w:rsidP="00665EBE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Budapest</w:t>
      </w:r>
      <w:proofErr w:type="gramStart"/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, …</w:t>
      </w:r>
      <w:proofErr w:type="gramEnd"/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…</w:t>
      </w:r>
    </w:p>
    <w:p w:rsidR="00665EBE" w:rsidRPr="00665EBE" w:rsidRDefault="00665EBE" w:rsidP="00B03585">
      <w:pPr>
        <w:spacing w:line="276" w:lineRule="auto"/>
        <w:jc w:val="right"/>
        <w:rPr>
          <w:rFonts w:eastAsia="Times New Roman" w:cstheme="minorHAnsi"/>
          <w:lang w:eastAsia="hu-HU"/>
        </w:rPr>
      </w:pPr>
      <w:r w:rsidRPr="00665EBE">
        <w:rPr>
          <w:rFonts w:eastAsia="Times New Roman" w:cstheme="minorHAnsi"/>
          <w:color w:val="000000"/>
          <w:shd w:val="clear" w:color="auto" w:fill="FFFF00"/>
          <w:lang w:eastAsia="hu-HU"/>
        </w:rPr>
        <w:t>NÉV, ALÁÍRÁS</w:t>
      </w:r>
    </w:p>
    <w:p w:rsidR="00DD275B" w:rsidRPr="00665EBE" w:rsidRDefault="00DD275B" w:rsidP="00665EBE">
      <w:pPr>
        <w:spacing w:line="276" w:lineRule="auto"/>
        <w:jc w:val="both"/>
        <w:rPr>
          <w:rFonts w:cstheme="minorHAnsi"/>
        </w:rPr>
      </w:pPr>
    </w:p>
    <w:sectPr w:rsidR="00DD275B" w:rsidRPr="0066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CAA"/>
    <w:multiLevelType w:val="multilevel"/>
    <w:tmpl w:val="AF94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C64E9"/>
    <w:multiLevelType w:val="multilevel"/>
    <w:tmpl w:val="1B8E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D115A"/>
    <w:multiLevelType w:val="multilevel"/>
    <w:tmpl w:val="A2841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134E5"/>
    <w:multiLevelType w:val="multilevel"/>
    <w:tmpl w:val="CCC8D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A6D9A"/>
    <w:multiLevelType w:val="multilevel"/>
    <w:tmpl w:val="1C263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84C99"/>
    <w:multiLevelType w:val="multilevel"/>
    <w:tmpl w:val="9C4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E"/>
    <w:rsid w:val="00665EBE"/>
    <w:rsid w:val="00B03585"/>
    <w:rsid w:val="00D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31B0"/>
  <w15:chartTrackingRefBased/>
  <w15:docId w15:val="{8C42EDAA-712D-4886-BF6B-3813E800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2256</Words>
  <Characters>15569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2020-05-20T14:17:00Z</dcterms:created>
  <dcterms:modified xsi:type="dcterms:W3CDTF">2020-05-20T14:32:00Z</dcterms:modified>
</cp:coreProperties>
</file>