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Dr. Péterfalvi Attila</w:t>
      </w:r>
    </w:p>
    <w:p w:rsidR="00000000" w:rsidDel="00000000" w:rsidP="00000000" w:rsidRDefault="00000000" w:rsidRPr="00000000" w14:paraId="00000002">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elnök</w:t>
      </w:r>
    </w:p>
    <w:p w:rsidR="00000000" w:rsidDel="00000000" w:rsidP="00000000" w:rsidRDefault="00000000" w:rsidRPr="00000000" w14:paraId="00000003">
      <w:pPr>
        <w:pageBreakBefore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Nemzeti Adatvédelmi és Információszabadság Hatóság</w:t>
      </w:r>
    </w:p>
    <w:p w:rsidR="00000000" w:rsidDel="00000000" w:rsidP="00000000" w:rsidRDefault="00000000" w:rsidRPr="00000000" w14:paraId="00000004">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Budapest</w:t>
      </w:r>
    </w:p>
    <w:p w:rsidR="00000000" w:rsidDel="00000000" w:rsidP="00000000" w:rsidRDefault="00000000" w:rsidRPr="00000000" w14:paraId="00000005">
      <w:pPr>
        <w:pageBreakBefore w:val="0"/>
        <w:spacing w:line="276" w:lineRule="auto"/>
        <w:jc w:val="right"/>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pageBreakBefore w:val="0"/>
        <w:spacing w:line="240" w:lineRule="auto"/>
        <w:jc w:val="right"/>
        <w:rPr>
          <w:rFonts w:ascii="Calibri" w:cs="Calibri" w:eastAsia="Calibri" w:hAnsi="Calibri"/>
          <w:b w:val="1"/>
        </w:rPr>
      </w:pPr>
      <w:r w:rsidDel="00000000" w:rsidR="00000000" w:rsidRPr="00000000">
        <w:rPr>
          <w:rFonts w:ascii="Calibri" w:cs="Calibri" w:eastAsia="Calibri" w:hAnsi="Calibri"/>
          <w:b w:val="1"/>
          <w:rtl w:val="0"/>
        </w:rPr>
        <w:t xml:space="preserve">tárgy: </w:t>
      </w:r>
      <w:r w:rsidDel="00000000" w:rsidR="00000000" w:rsidRPr="00000000">
        <w:rPr>
          <w:rFonts w:ascii="Calibri" w:cs="Calibri" w:eastAsia="Calibri" w:hAnsi="Calibri"/>
          <w:rtl w:val="0"/>
        </w:rPr>
        <w:t xml:space="preserve">bejelentés </w:t>
        <w:br w:type="textWrapping"/>
        <w:t xml:space="preserve">személyes adatok jogszerűtlen kezelésének közvetlen veszélye miatt</w:t>
        <w:br w:type="textWrapping"/>
      </w:r>
      <w:r w:rsidDel="00000000" w:rsidR="00000000" w:rsidRPr="00000000">
        <w:rPr>
          <w:rtl w:val="0"/>
        </w:rPr>
      </w:r>
    </w:p>
    <w:p w:rsidR="00000000" w:rsidDel="00000000" w:rsidP="00000000" w:rsidRDefault="00000000" w:rsidRPr="00000000" w14:paraId="00000007">
      <w:pPr>
        <w:pageBreakBefore w:val="0"/>
        <w:spacing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8">
      <w:pPr>
        <w:pageBreakBefore w:val="0"/>
        <w:spacing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9">
      <w:pPr>
        <w:pageBreakBefore w:val="0"/>
        <w:spacing w:line="276" w:lineRule="auto"/>
        <w:jc w:val="left"/>
        <w:rPr>
          <w:rFonts w:ascii="Calibri" w:cs="Calibri" w:eastAsia="Calibri" w:hAnsi="Calibri"/>
        </w:rPr>
      </w:pPr>
      <w:r w:rsidDel="00000000" w:rsidR="00000000" w:rsidRPr="00000000">
        <w:rPr>
          <w:rFonts w:ascii="Calibri" w:cs="Calibri" w:eastAsia="Calibri" w:hAnsi="Calibri"/>
          <w:rtl w:val="0"/>
        </w:rPr>
        <w:t xml:space="preserve">Tisztelt Elnök úr!</w:t>
      </w:r>
    </w:p>
    <w:p w:rsidR="00000000" w:rsidDel="00000000" w:rsidP="00000000" w:rsidRDefault="00000000" w:rsidRPr="00000000" w14:paraId="0000000A">
      <w:pPr>
        <w:pageBreakBefore w:val="0"/>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Alulírott </w:t>
      </w:r>
      <w:r w:rsidDel="00000000" w:rsidR="00000000" w:rsidRPr="00000000">
        <w:rPr>
          <w:rFonts w:ascii="Calibri" w:cs="Calibri" w:eastAsia="Calibri" w:hAnsi="Calibri"/>
          <w:b w:val="1"/>
          <w:highlight w:val="yellow"/>
          <w:rtl w:val="0"/>
        </w:rPr>
        <w:t xml:space="preserve">[név]</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(születési hely és idő: </w:t>
      </w:r>
      <w:r w:rsidDel="00000000" w:rsidR="00000000" w:rsidRPr="00000000">
        <w:rPr>
          <w:rFonts w:ascii="Calibri" w:cs="Calibri" w:eastAsia="Calibri" w:hAnsi="Calibri"/>
          <w:highlight w:val="yellow"/>
          <w:rtl w:val="0"/>
        </w:rPr>
        <w:t xml:space="preserve">[...]</w:t>
      </w:r>
      <w:r w:rsidDel="00000000" w:rsidR="00000000" w:rsidRPr="00000000">
        <w:rPr>
          <w:rFonts w:ascii="Calibri" w:cs="Calibri" w:eastAsia="Calibri" w:hAnsi="Calibri"/>
          <w:rtl w:val="0"/>
        </w:rPr>
        <w:t xml:space="preserve">, anyja neve: </w:t>
      </w:r>
      <w:r w:rsidDel="00000000" w:rsidR="00000000" w:rsidRPr="00000000">
        <w:rPr>
          <w:rFonts w:ascii="Calibri" w:cs="Calibri" w:eastAsia="Calibri" w:hAnsi="Calibri"/>
          <w:highlight w:val="yellow"/>
          <w:rtl w:val="0"/>
        </w:rPr>
        <w:t xml:space="preserve">[...]</w:t>
      </w:r>
      <w:r w:rsidDel="00000000" w:rsidR="00000000" w:rsidRPr="00000000">
        <w:rPr>
          <w:rFonts w:ascii="Calibri" w:cs="Calibri" w:eastAsia="Calibri" w:hAnsi="Calibri"/>
          <w:rtl w:val="0"/>
        </w:rPr>
        <w:t xml:space="preserve">, lakcím: </w:t>
      </w:r>
      <w:r w:rsidDel="00000000" w:rsidR="00000000" w:rsidRPr="00000000">
        <w:rPr>
          <w:rFonts w:ascii="Calibri" w:cs="Calibri" w:eastAsia="Calibri" w:hAnsi="Calibri"/>
          <w:highlight w:val="yellow"/>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az információs önrendelkezési jogról és az információszabadságról szóló 2011. évi CXII. törvény (a továbbiakban: Infotv.) 52. § (1) bekezdése alapján az alábbi</w:t>
      </w:r>
    </w:p>
    <w:p w:rsidR="00000000" w:rsidDel="00000000" w:rsidP="00000000" w:rsidRDefault="00000000" w:rsidRPr="00000000" w14:paraId="0000000C">
      <w:pPr>
        <w:pageBreakBefore w:val="0"/>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pageBreakBefore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bejelentést</w:t>
      </w:r>
    </w:p>
    <w:p w:rsidR="00000000" w:rsidDel="00000000" w:rsidP="00000000" w:rsidRDefault="00000000" w:rsidRPr="00000000" w14:paraId="0000000E">
      <w:pPr>
        <w:pageBreakBefore w:val="0"/>
        <w:spacing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pageBreakBefore w:val="0"/>
        <w:spacing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teszem </w:t>
      </w:r>
      <w:r w:rsidDel="00000000" w:rsidR="00000000" w:rsidRPr="00000000">
        <w:rPr>
          <w:rFonts w:ascii="Calibri" w:cs="Calibri" w:eastAsia="Calibri" w:hAnsi="Calibri"/>
          <w:b w:val="1"/>
          <w:rtl w:val="0"/>
        </w:rPr>
        <w:t xml:space="preserve">személyes adatok kezelésével kapcsolatos jogsérelem </w:t>
      </w:r>
      <w:r w:rsidDel="00000000" w:rsidR="00000000" w:rsidRPr="00000000">
        <w:rPr>
          <w:rFonts w:ascii="Calibri" w:cs="Calibri" w:eastAsia="Calibri" w:hAnsi="Calibri"/>
          <w:b w:val="1"/>
          <w:rtl w:val="0"/>
        </w:rPr>
        <w:t xml:space="preserve">bekövetkeztének közvetlen veszélye </w:t>
      </w:r>
      <w:r w:rsidDel="00000000" w:rsidR="00000000" w:rsidRPr="00000000">
        <w:rPr>
          <w:rFonts w:ascii="Calibri" w:cs="Calibri" w:eastAsia="Calibri" w:hAnsi="Calibri"/>
          <w:b w:val="1"/>
          <w:rtl w:val="0"/>
        </w:rPr>
        <w:t xml:space="preserve">miatt</w:t>
      </w:r>
      <w:r w:rsidDel="00000000" w:rsidR="00000000" w:rsidRPr="00000000">
        <w:rPr>
          <w:rFonts w:ascii="Calibri" w:cs="Calibri" w:eastAsia="Calibri" w:hAnsi="Calibri"/>
          <w:rtl w:val="0"/>
        </w:rPr>
        <w:t xml:space="preserve">, és kérem, hogy a Nemzeti Adatvédelmi és Információszabadság Hatóság </w:t>
      </w:r>
      <w:r w:rsidDel="00000000" w:rsidR="00000000" w:rsidRPr="00000000">
        <w:rPr>
          <w:rFonts w:ascii="Calibri" w:cs="Calibri" w:eastAsia="Calibri" w:hAnsi="Calibri"/>
          <w:b w:val="1"/>
          <w:rtl w:val="0"/>
        </w:rPr>
        <w:t xml:space="preserve">folytasson le vizsgálatot és szólítsa fel az adatkezelőt a jogsérelem orvoslására.</w:t>
      </w:r>
    </w:p>
    <w:p w:rsidR="00000000" w:rsidDel="00000000" w:rsidP="00000000" w:rsidRDefault="00000000" w:rsidRPr="00000000" w14:paraId="00000010">
      <w:pPr>
        <w:pageBreakBefore w:val="0"/>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pageBreakBefore w:val="0"/>
        <w:numPr>
          <w:ilvl w:val="0"/>
          <w:numId w:val="1"/>
        </w:numPr>
        <w:spacing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Tényállás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2">
      <w:pPr>
        <w:pageBreakBefore w:val="0"/>
        <w:jc w:val="both"/>
        <w:rPr>
          <w:rFonts w:ascii="Calibri" w:cs="Calibri" w:eastAsia="Calibri" w:hAnsi="Calibri"/>
        </w:rPr>
      </w:pPr>
      <w:r w:rsidDel="00000000" w:rsidR="00000000" w:rsidRPr="00000000">
        <w:rPr>
          <w:rFonts w:ascii="Calibri" w:cs="Calibri" w:eastAsia="Calibri" w:hAnsi="Calibri"/>
          <w:rtl w:val="0"/>
        </w:rPr>
        <w:t xml:space="preserve">Tudomásomra jutott, hogy a </w:t>
      </w:r>
      <w:r w:rsidDel="00000000" w:rsidR="00000000" w:rsidRPr="00000000">
        <w:rPr>
          <w:rFonts w:ascii="Calibri" w:cs="Calibri" w:eastAsia="Calibri" w:hAnsi="Calibri"/>
          <w:highlight w:val="yellow"/>
          <w:rtl w:val="0"/>
        </w:rPr>
        <w:t xml:space="preserve">[egyetem neve]</w:t>
      </w:r>
      <w:r w:rsidDel="00000000" w:rsidR="00000000" w:rsidRPr="00000000">
        <w:rPr>
          <w:rFonts w:ascii="Calibri" w:cs="Calibri" w:eastAsia="Calibri" w:hAnsi="Calibri"/>
          <w:rtl w:val="0"/>
        </w:rPr>
        <w:t xml:space="preserve"> (a továbbiakban: egyetem) az egyetem hallgatóitól gyűjti az arra vonatkozó személyes adatukat, hogy felvették-e a koronavírus elleni védőoltást, és erről az adatról adatbázist vezet, amely alapján beazonosítható módon megállapítható az egyes hallgatók oltottsági állapota. </w:t>
      </w:r>
    </w:p>
    <w:p w:rsidR="00000000" w:rsidDel="00000000" w:rsidP="00000000" w:rsidRDefault="00000000" w:rsidRPr="00000000" w14:paraId="00000013">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pageBreakBefore w:val="0"/>
        <w:jc w:val="both"/>
        <w:rPr>
          <w:rFonts w:ascii="Calibri" w:cs="Calibri" w:eastAsia="Calibri" w:hAnsi="Calibri"/>
        </w:rPr>
      </w:pPr>
      <w:r w:rsidDel="00000000" w:rsidR="00000000" w:rsidRPr="00000000">
        <w:rPr>
          <w:rFonts w:ascii="Calibri" w:cs="Calibri" w:eastAsia="Calibri" w:hAnsi="Calibri"/>
          <w:rtl w:val="0"/>
        </w:rPr>
        <w:t xml:space="preserve">Az egyetem sem az adatkezelés alapvető kötelezettségeinek, sem az egészségügyi adatok kezelésének szigorúbb szabályainak nem felelt meg. Az adatkezelő ugyanis elmulasztotta az érintettek tájékoztatását az adatkezelésre vonatkozó legfontosabb információkról, amely kötelezettséget az Európai Unió általános adatvédelmi rendelete (a továbbiakban: GDPR) írja elő részére, valamint jogalappal sem rendelkezik a védőoltással kapcsolatos adatok kezelésére. </w:t>
      </w:r>
    </w:p>
    <w:p w:rsidR="00000000" w:rsidDel="00000000" w:rsidP="00000000" w:rsidRDefault="00000000" w:rsidRPr="00000000" w14:paraId="00000015">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pageBreakBefore w:val="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Mivel az egyetem adatgyűjtése során a hallgatók egy többek által szerkeszthető táblázatba kötelesek beírni az adataikat, így ennek során megismerik a többi hallgató oltottságra vonatkozó adatát is. </w:t>
      </w:r>
      <w:r w:rsidDel="00000000" w:rsidR="00000000" w:rsidRPr="00000000">
        <w:rPr>
          <w:rFonts w:ascii="Calibri" w:cs="Calibri" w:eastAsia="Calibri" w:hAnsi="Calibri"/>
          <w:highlight w:val="yellow"/>
          <w:rtl w:val="0"/>
        </w:rPr>
        <w:t xml:space="preserve">Az egyetem ezirányú gyakorlata különösen aggályos, ugyanis az adatvédelmi alapelvek azt is előírják, hogy az adatokat úgy kell kezelni, hogy adatkezelésre fel nem jogosított személyek ne férjenek hozzá, így a hallgatók se ismerhessék meg a többi hallgató egészségügyi adatát.</w:t>
      </w:r>
      <w:r w:rsidDel="00000000" w:rsidR="00000000" w:rsidRPr="00000000">
        <w:rPr>
          <w:rtl w:val="0"/>
        </w:rPr>
      </w:r>
    </w:p>
    <w:p w:rsidR="00000000" w:rsidDel="00000000" w:rsidP="00000000" w:rsidRDefault="00000000" w:rsidRPr="00000000" w14:paraId="00000017">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pageBreakBefore w:val="0"/>
        <w:jc w:val="both"/>
        <w:rPr>
          <w:rFonts w:ascii="Calibri" w:cs="Calibri" w:eastAsia="Calibri" w:hAnsi="Calibri"/>
        </w:rPr>
      </w:pPr>
      <w:r w:rsidDel="00000000" w:rsidR="00000000" w:rsidRPr="00000000">
        <w:rPr>
          <w:rFonts w:ascii="Calibri" w:cs="Calibri" w:eastAsia="Calibri" w:hAnsi="Calibri"/>
          <w:rtl w:val="0"/>
        </w:rPr>
        <w:t xml:space="preserve">Az egyetem védőoltással kapcsolatos adatkezelése a lent részletesen kifejtett álláspontom szerint a GDPR rendelkezései ütközik. Az adatkezelés nem jogszerű és nem áll összhangban az adatkezelési alapelvekkel, különösen 5. cikk (1) bek. b) pontjában foglalt célhoz kötöttség elvéhez, ezért szükséges a T. Hatóság fellépése. </w:t>
      </w:r>
    </w:p>
    <w:p w:rsidR="00000000" w:rsidDel="00000000" w:rsidP="00000000" w:rsidRDefault="00000000" w:rsidRPr="00000000" w14:paraId="00000019">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numPr>
          <w:ilvl w:val="0"/>
          <w:numId w:val="1"/>
        </w:numPr>
        <w:spacing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Adatkezelő</w:t>
      </w:r>
    </w:p>
    <w:p w:rsidR="00000000" w:rsidDel="00000000" w:rsidP="00000000" w:rsidRDefault="00000000" w:rsidRPr="00000000" w14:paraId="0000001B">
      <w:pPr>
        <w:pageBreakBefore w:val="0"/>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Az adatkezelő a </w:t>
      </w:r>
      <w:r w:rsidDel="00000000" w:rsidR="00000000" w:rsidRPr="00000000">
        <w:rPr>
          <w:rFonts w:ascii="Calibri" w:cs="Calibri" w:eastAsia="Calibri" w:hAnsi="Calibri"/>
          <w:highlight w:val="yellow"/>
          <w:rtl w:val="0"/>
        </w:rPr>
        <w:t xml:space="preserve">[egyetem neve, címe]</w:t>
      </w:r>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pageBreakBefore w:val="0"/>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pageBreakBefore w:val="0"/>
        <w:numPr>
          <w:ilvl w:val="0"/>
          <w:numId w:val="1"/>
        </w:numPr>
        <w:spacing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 személyes adatok kezelésével összefüggő jogsérelem közvetlen </w:t>
      </w:r>
      <w:r w:rsidDel="00000000" w:rsidR="00000000" w:rsidRPr="00000000">
        <w:rPr>
          <w:rFonts w:ascii="Calibri" w:cs="Calibri" w:eastAsia="Calibri" w:hAnsi="Calibri"/>
          <w:b w:val="1"/>
          <w:rtl w:val="0"/>
        </w:rPr>
        <w:t xml:space="preserve">veszélye</w:t>
      </w:r>
      <w:r w:rsidDel="00000000" w:rsidR="00000000" w:rsidRPr="00000000">
        <w:rPr>
          <w:rtl w:val="0"/>
        </w:rPr>
      </w:r>
    </w:p>
    <w:p w:rsidR="00000000" w:rsidDel="00000000" w:rsidP="00000000" w:rsidRDefault="00000000" w:rsidRPr="00000000" w14:paraId="0000001F">
      <w:pPr>
        <w:pageBreakBefore w:val="0"/>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pageBreakBefore w:val="0"/>
        <w:jc w:val="both"/>
        <w:rPr>
          <w:rFonts w:ascii="Calibri" w:cs="Calibri" w:eastAsia="Calibri" w:hAnsi="Calibri"/>
          <w:i w:val="1"/>
        </w:rPr>
      </w:pPr>
      <w:r w:rsidDel="00000000" w:rsidR="00000000" w:rsidRPr="00000000">
        <w:rPr>
          <w:rFonts w:ascii="Calibri" w:cs="Calibri" w:eastAsia="Calibri" w:hAnsi="Calibri"/>
          <w:rtl w:val="0"/>
        </w:rPr>
        <w:t xml:space="preserve">A GDPR 4. cikk 15. pontja szerint egészségügyi adat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 Ahogyan a T. Hatóság korábbi, NAIH-6148[...]/2021. ügyszámmal kiadott tájékoztatójában is rámutatott </w:t>
      </w:r>
      <w:r w:rsidDel="00000000" w:rsidR="00000000" w:rsidRPr="00000000">
        <w:rPr>
          <w:rFonts w:ascii="Calibri" w:cs="Calibri" w:eastAsia="Calibri" w:hAnsi="Calibri"/>
          <w:i w:val="1"/>
          <w:rtl w:val="0"/>
        </w:rPr>
        <w:t xml:space="preserve">„a koronavírus elleni védettség ténye, illetve annak hiánya egészségügyi adatnak minősül.”</w:t>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rPr>
      </w:pPr>
      <w:r w:rsidDel="00000000" w:rsidR="00000000" w:rsidRPr="00000000">
        <w:rPr>
          <w:rFonts w:ascii="Calibri" w:cs="Calibri" w:eastAsia="Calibri" w:hAnsi="Calibri"/>
          <w:rtl w:val="0"/>
        </w:rPr>
        <w:t xml:space="preserve">A GDPR 9. cikk (1) bekezdése szerint az egészségügyi adatok kezelése tilos. Ugyanezen cikk (2) bekezdése azonban lehetőséget ad a különleges adatok kezelésére speciális esetkörökben. </w:t>
      </w:r>
      <w:r w:rsidDel="00000000" w:rsidR="00000000" w:rsidRPr="00000000">
        <w:rPr>
          <w:rFonts w:ascii="Calibri" w:cs="Calibri" w:eastAsia="Calibri" w:hAnsi="Calibri"/>
          <w:rtl w:val="0"/>
        </w:rPr>
        <w:t xml:space="preserve">Ahhoz, hogy az adatkezelés jogszerű legyen, az adatkezelőnek rendelkeznie kell az adott tevékenységéhez tartozó jogalappal</w:t>
      </w:r>
      <w:r w:rsidDel="00000000" w:rsidR="00000000" w:rsidRPr="00000000">
        <w:rPr>
          <w:rFonts w:ascii="Calibri" w:cs="Calibri" w:eastAsia="Calibri" w:hAnsi="Calibri"/>
          <w:rtl w:val="0"/>
        </w:rPr>
        <w:t xml:space="preserve">, az</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egyetem azonban elmulasztotta a tájékoztatást az adatkezelés alapvető információiról, így a jogalapot sem jelölte meg (ld. később). </w:t>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Fonts w:ascii="Calibri" w:cs="Calibri" w:eastAsia="Calibri" w:hAnsi="Calibri"/>
          <w:rtl w:val="0"/>
        </w:rPr>
        <w:t xml:space="preserve">Elképzelhető, hogy az egyetem jogalapként a népegészségügy területét érintő közérdeket jelöli meg, amely alapján az adatkezelés a jelenlegi kororavírus-járvánnyal mint határokon át terjedő súlyos egészségügyi veszéllyel szembeni védelem érdekében szükséges. A GDPR azonban ezen esetkör vonatkozásában szükségessé teszi, hogy uniós vagy tagállami jog alapján történjen az adatkezelés, amely rendelkezik az érintett jogait és szabadságait védő garanciákról, különösen a szakmai titoktartásra vonatkozóan.</w:t>
      </w:r>
    </w:p>
    <w:p w:rsidR="00000000" w:rsidDel="00000000" w:rsidP="00000000" w:rsidRDefault="00000000" w:rsidRPr="00000000" w14:paraId="00000025">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rPr>
      </w:pPr>
      <w:r w:rsidDel="00000000" w:rsidR="00000000" w:rsidRPr="00000000">
        <w:rPr>
          <w:rFonts w:ascii="Calibri" w:cs="Calibri" w:eastAsia="Calibri" w:hAnsi="Calibri"/>
          <w:rtl w:val="0"/>
        </w:rPr>
        <w:t xml:space="preserve">Arról, hogy az egyetem milyen adatokat kezelhet a hallgatókról, a nemzeti felsőoktatásról szóló 2011. évi CCIV. törvény (a továbbiakban: felsőoktatási törvény) 18. § (1) és (2) bekezdése rendelkezik. Eszerint a nyilvántartott adatok körét, az adatkezelés célját és időtartamát, valamint a nyilvántartott adatok továbbításának feltételeit a 3. és 6. melléklet rögzíti. A 3. melléklet I/B. része részletesen felsorolja a hallgatók felsőoktatási intézményekben kezelt (nyilvántartott) személyes adatok körét, ebben a felsorolásban azonban nem szerepel az, hogy az egészségi állapotra vagy betegségre vonatkozó adatot kezelhetne az egyetem. </w:t>
      </w:r>
    </w:p>
    <w:p w:rsidR="00000000" w:rsidDel="00000000" w:rsidP="00000000" w:rsidRDefault="00000000" w:rsidRPr="00000000" w14:paraId="0000002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rPr>
      </w:pPr>
      <w:r w:rsidDel="00000000" w:rsidR="00000000" w:rsidRPr="00000000">
        <w:rPr>
          <w:rFonts w:ascii="Calibri" w:cs="Calibri" w:eastAsia="Calibri" w:hAnsi="Calibri"/>
          <w:rtl w:val="0"/>
        </w:rPr>
        <w:t xml:space="preserve">A fentieket összefoglalva, a</w:t>
      </w:r>
      <w:r w:rsidDel="00000000" w:rsidR="00000000" w:rsidRPr="00000000">
        <w:rPr>
          <w:rFonts w:ascii="Calibri" w:cs="Calibri" w:eastAsia="Calibri" w:hAnsi="Calibri"/>
          <w:rtl w:val="0"/>
        </w:rPr>
        <w:t xml:space="preserve">z oltottságra vonatkozó adat egészségügyi adat, amely a személyes adatok a különleges, szigorúbb védelem alá eső kategóriájába tartozik. A hallgatók egészségügyi adatait csak a legszükségesebb esetben kezelheti az egyetem, és alapvetően csak akkor, ha erre jogszabály kifejezetten felhatalmazást ad és az adatvédelemre vonatkozó szigorú szabályokat betartják. A felsőoktatási intézményekre vonatkozó szabályok nem adnak felhatalmazást az egyetem számára, hogy kezelje a hallgatók egészségügyi állapotára vonatkozó adatokat, ebből fakadóan az egyetem adatkezelése jogellenes.</w:t>
      </w: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rPr>
      </w:pPr>
      <w:r w:rsidDel="00000000" w:rsidR="00000000" w:rsidRPr="00000000">
        <w:rPr>
          <w:rFonts w:ascii="Calibri" w:cs="Calibri" w:eastAsia="Calibri" w:hAnsi="Calibri"/>
          <w:rtl w:val="0"/>
        </w:rPr>
        <w:t xml:space="preserve">A GDPR 5. cikk (1) bekezdés a) pontja szerinti jogszerűség, tisztességes eljárás és átláthatóság elve alapján a személyes adatok kezelését jogszerűen és tisztességesen, valamint az érintett számára átlátható módon kell végezni. Ugyanezen bekezdés b) pontjában foglalt célhoz kötöttség elve előírja, hogy a személyes adatok gyűjtése csak meghatározott, egyértelmű és jogszerű célból történjen, és azokat ne kezeljék ezekkel a célokkal össze nem egyeztethető módon.</w:t>
      </w:r>
    </w:p>
    <w:p w:rsidR="00000000" w:rsidDel="00000000" w:rsidP="00000000" w:rsidRDefault="00000000" w:rsidRPr="00000000" w14:paraId="0000002B">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rPr>
      </w:pPr>
      <w:r w:rsidDel="00000000" w:rsidR="00000000" w:rsidRPr="00000000">
        <w:rPr>
          <w:rFonts w:ascii="Calibri" w:cs="Calibri" w:eastAsia="Calibri" w:hAnsi="Calibri"/>
          <w:rtl w:val="0"/>
        </w:rPr>
        <w:t xml:space="preserve">A GDPR 13. cikke előírja azon információk körét, amelyeket a személyes adatok megszerzésének időpontjában az adatkezelőnek érintett rendelkezésére kell bocsátania. Az egyetem nem adott ilyen tájékoztatást az érintettek számára, így nem ismerték meg az adatkezelés célját, jogalapját, időtartamát és egyéb, a GDPR által előírt információt sem.</w:t>
      </w:r>
    </w:p>
    <w:p w:rsidR="00000000" w:rsidDel="00000000" w:rsidP="00000000" w:rsidRDefault="00000000" w:rsidRPr="00000000" w14:paraId="0000002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pageBreakBefore w:val="0"/>
        <w:jc w:val="both"/>
        <w:rPr>
          <w:rFonts w:ascii="Calibri" w:cs="Calibri" w:eastAsia="Calibri" w:hAnsi="Calibri"/>
          <w:i w:val="1"/>
        </w:rPr>
      </w:pPr>
      <w:r w:rsidDel="00000000" w:rsidR="00000000" w:rsidRPr="00000000">
        <w:rPr>
          <w:rFonts w:ascii="Calibri" w:cs="Calibri" w:eastAsia="Calibri" w:hAnsi="Calibri"/>
          <w:rtl w:val="0"/>
        </w:rPr>
        <w:t xml:space="preserve">Fent hivatkozott tájékoztatójában a T. Hatóság arra is rámutat, hogy </w:t>
      </w:r>
      <w:r w:rsidDel="00000000" w:rsidR="00000000" w:rsidRPr="00000000">
        <w:rPr>
          <w:rFonts w:ascii="Calibri" w:cs="Calibri" w:eastAsia="Calibri" w:hAnsi="Calibri"/>
          <w:i w:val="1"/>
          <w:rtl w:val="0"/>
        </w:rPr>
        <w:t xml:space="preserve">„a GDPR 5. cikke szerinti alapelveknek történő megfelelés elsődleges kötelezettsége az adatkezelőnek. A célhoz kötöttség elvéből fakadóan nem lehet jogszerű egy adatkezelés, ha az adatkezelési cél nem kerül kellően pontosan meghatározásra.”</w:t>
      </w:r>
      <w:r w:rsidDel="00000000" w:rsidR="00000000" w:rsidRPr="00000000">
        <w:rPr>
          <w:rFonts w:ascii="Calibri" w:cs="Calibri" w:eastAsia="Calibri" w:hAnsi="Calibri"/>
          <w:rtl w:val="0"/>
        </w:rPr>
        <w:t xml:space="preserve"> A tájékoztató azt is megállapítja hogy </w:t>
      </w:r>
      <w:r w:rsidDel="00000000" w:rsidR="00000000" w:rsidRPr="00000000">
        <w:rPr>
          <w:rFonts w:ascii="Calibri" w:cs="Calibri" w:eastAsia="Calibri" w:hAnsi="Calibri"/>
          <w:i w:val="1"/>
          <w:rtl w:val="0"/>
        </w:rPr>
        <w:t xml:space="preserve">„a hatályos jogszabályok alapján önmagában az Egyetem puszta információs érdeke nem elegendő a hallgatók, illetve munkaviszonyban vagy közalkalmazotti jogviszonyban nem álló oktatók koronavírus elleni védettsége tényének megismeréséhez és nyilvántartásához”.</w:t>
      </w:r>
    </w:p>
    <w:p w:rsidR="00000000" w:rsidDel="00000000" w:rsidP="00000000" w:rsidRDefault="00000000" w:rsidRPr="00000000" w14:paraId="0000002F">
      <w:pPr>
        <w:pageBreakBefore w:val="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i w:val="1"/>
          <w:highlight w:val="yellow"/>
        </w:rPr>
      </w:pPr>
      <w:r w:rsidDel="00000000" w:rsidR="00000000" w:rsidRPr="00000000">
        <w:rPr>
          <w:rFonts w:ascii="Calibri" w:cs="Calibri" w:eastAsia="Calibri" w:hAnsi="Calibri"/>
          <w:highlight w:val="yellow"/>
          <w:rtl w:val="0"/>
        </w:rPr>
        <w:t xml:space="preserve">Jogellenes az egyetem azon gyakorlata is, amely alapján a hallgatók hozzáférnek a többi hallgató oltottságra vonakozó adatához. A GDPR 5. cikk (1) bekezdésének </w:t>
      </w:r>
      <w:r w:rsidDel="00000000" w:rsidR="00000000" w:rsidRPr="00000000">
        <w:rPr>
          <w:rFonts w:ascii="Calibri" w:cs="Calibri" w:eastAsia="Calibri" w:hAnsi="Calibri"/>
          <w:i w:val="1"/>
          <w:highlight w:val="yellow"/>
          <w:rtl w:val="0"/>
        </w:rPr>
        <w:t xml:space="preserve">f)</w:t>
      </w:r>
      <w:r w:rsidDel="00000000" w:rsidR="00000000" w:rsidRPr="00000000">
        <w:rPr>
          <w:rFonts w:ascii="Calibri" w:cs="Calibri" w:eastAsia="Calibri" w:hAnsi="Calibri"/>
          <w:highlight w:val="yellow"/>
          <w:rtl w:val="0"/>
        </w:rPr>
        <w:t xml:space="preserve"> pontjában foglalt integritás és bizalmas jelleg elve szerint a személyes adatok 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Az adatkezelőnek a GDPR 32. cikkében foglaltak szerinti intézkedéseket kell végrehajtania az adatkezelés biztonsága érdekében. Mindezen intézkedéseket elmulasztja az egyetem, amikor nyilvános táblázatban vezeti a hallgatók oltottsági adatait. </w:t>
      </w:r>
      <w:r w:rsidDel="00000000" w:rsidR="00000000" w:rsidRPr="00000000">
        <w:rPr>
          <w:rtl w:val="0"/>
        </w:rPr>
      </w:r>
    </w:p>
    <w:p w:rsidR="00000000" w:rsidDel="00000000" w:rsidP="00000000" w:rsidRDefault="00000000" w:rsidRPr="00000000" w14:paraId="00000031">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pageBreakBefore w:val="0"/>
        <w:jc w:val="both"/>
        <w:rPr>
          <w:rFonts w:ascii="Calibri" w:cs="Calibri" w:eastAsia="Calibri" w:hAnsi="Calibri"/>
        </w:rPr>
      </w:pPr>
      <w:r w:rsidDel="00000000" w:rsidR="00000000" w:rsidRPr="00000000">
        <w:rPr>
          <w:rFonts w:ascii="Calibri" w:cs="Calibri" w:eastAsia="Calibri" w:hAnsi="Calibri"/>
          <w:rtl w:val="0"/>
        </w:rPr>
        <w:t xml:space="preserve">Mindezek alapján megállapítható, hogy az egyetem jogalap nélkül kezelte a hallgatók különlegesen védett személyes adatait. Megállapítható továbbá az is, hogy az egyetem az érintettek tájékoztatását, valamint az adatkezelés átláthatóságát </w:t>
      </w:r>
      <w:r w:rsidDel="00000000" w:rsidR="00000000" w:rsidRPr="00000000">
        <w:rPr>
          <w:rFonts w:ascii="Calibri" w:cs="Calibri" w:eastAsia="Calibri" w:hAnsi="Calibri"/>
          <w:highlight w:val="yellow"/>
          <w:rtl w:val="0"/>
        </w:rPr>
        <w:t xml:space="preserve">és biztonságát </w:t>
      </w:r>
      <w:r w:rsidDel="00000000" w:rsidR="00000000" w:rsidRPr="00000000">
        <w:rPr>
          <w:rFonts w:ascii="Calibri" w:cs="Calibri" w:eastAsia="Calibri" w:hAnsi="Calibri"/>
          <w:rtl w:val="0"/>
        </w:rPr>
        <w:t xml:space="preserve">garantáló alapvető adatvédelmi szabályokat megszegve járt el, amikor a hallgatók oltottságra vonatkozó adatait kezelte.</w:t>
      </w:r>
    </w:p>
    <w:p w:rsidR="00000000" w:rsidDel="00000000" w:rsidP="00000000" w:rsidRDefault="00000000" w:rsidRPr="00000000" w14:paraId="00000033">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pageBreakBefore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Az Infotv. 56. §-a értelmében, ha a Hatóság a személyes adatok kezelésével kapcsolatos jogsérelem vagy annak közvetlen veszélye fennállását állapítja meg, az adatkezelőt a jogsérelem orvoslására, illetve annak közvetlen veszélye megszüntetésére szólítja fel.</w:t>
      </w:r>
    </w:p>
    <w:p w:rsidR="00000000" w:rsidDel="00000000" w:rsidP="00000000" w:rsidRDefault="00000000" w:rsidRPr="00000000" w14:paraId="00000035">
      <w:pPr>
        <w:pageBreakBefore w:val="0"/>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Fonts w:ascii="Calibri" w:cs="Calibri" w:eastAsia="Calibri" w:hAnsi="Calibri"/>
          <w:b w:val="1"/>
          <w:rtl w:val="0"/>
        </w:rPr>
        <w:t xml:space="preserve">Kérelem</w:t>
      </w:r>
      <w:r w:rsidDel="00000000" w:rsidR="00000000" w:rsidRPr="00000000">
        <w:rPr>
          <w:rtl w:val="0"/>
        </w:rPr>
      </w:r>
    </w:p>
    <w:p w:rsidR="00000000" w:rsidDel="00000000" w:rsidP="00000000" w:rsidRDefault="00000000" w:rsidRPr="00000000" w14:paraId="00000037">
      <w:pPr>
        <w:pageBreakBefore w:val="0"/>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pageBreakBefore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Kérem a T. Hatóságot, hogy az Infotv. 52. § (1) bekezdése szerint tett bejelentésem alapján folytasson vizsgálatot az adatkezelővel szemben, és annak eredményéről az 55. § (2) bekezdése szerint tájékoztatni szíveskedjen. Kérem a T. Hatóságot továbbá, hogy az Infotv. </w:t>
      </w:r>
      <w:r w:rsidDel="00000000" w:rsidR="00000000" w:rsidRPr="00000000">
        <w:rPr>
          <w:rFonts w:ascii="Calibri" w:cs="Calibri" w:eastAsia="Calibri" w:hAnsi="Calibri"/>
          <w:rtl w:val="0"/>
        </w:rPr>
        <w:t xml:space="preserve">56. §-ban foglaltak szerint állapítsa meg a személyes adatok kezelésének közvetlen veszélyének fennállását, és szólítsa fel az adatkezelőt a jogsérelem orvoslására, azaz a jogellenes adatkezelés megszüntetésére és a kezelt adatok törlésére.</w:t>
      </w:r>
    </w:p>
    <w:p w:rsidR="00000000" w:rsidDel="00000000" w:rsidP="00000000" w:rsidRDefault="00000000" w:rsidRPr="00000000" w14:paraId="00000039">
      <w:pPr>
        <w:pageBreakBefore w:val="0"/>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highlight w:val="yellow"/>
        </w:rPr>
      </w:pPr>
      <w:r w:rsidDel="00000000" w:rsidR="00000000" w:rsidRPr="00000000">
        <w:rPr>
          <w:rFonts w:ascii="Calibri" w:cs="Calibri" w:eastAsia="Calibri" w:hAnsi="Calibri"/>
          <w:rtl w:val="0"/>
        </w:rPr>
        <w:t xml:space="preserve">Kelt: </w:t>
      </w:r>
      <w:r w:rsidDel="00000000" w:rsidR="00000000" w:rsidRPr="00000000">
        <w:rPr>
          <w:rFonts w:ascii="Calibri" w:cs="Calibri" w:eastAsia="Calibri" w:hAnsi="Calibri"/>
          <w:highlight w:val="yellow"/>
          <w:rtl w:val="0"/>
        </w:rPr>
        <w:t xml:space="preserve">[hely, dátum]</w:t>
      </w:r>
    </w:p>
    <w:p w:rsidR="00000000" w:rsidDel="00000000" w:rsidP="00000000" w:rsidRDefault="00000000" w:rsidRPr="00000000" w14:paraId="0000003B">
      <w:pPr>
        <w:pageBreakBefore w:val="0"/>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pageBreakBefore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Üdvözlettel:</w:t>
      </w:r>
    </w:p>
    <w:p w:rsidR="00000000" w:rsidDel="00000000" w:rsidP="00000000" w:rsidRDefault="00000000" w:rsidRPr="00000000" w14:paraId="0000003D">
      <w:pPr>
        <w:pageBreakBefore w:val="0"/>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pageBreakBefore w:val="0"/>
        <w:spacing w:line="276" w:lineRule="auto"/>
        <w:jc w:val="both"/>
        <w:rPr>
          <w:rFonts w:ascii="Calibri" w:cs="Calibri" w:eastAsia="Calibri" w:hAnsi="Calibri"/>
        </w:rPr>
      </w:pPr>
      <w:r w:rsidDel="00000000" w:rsidR="00000000" w:rsidRPr="00000000">
        <w:rPr>
          <w:rtl w:val="0"/>
        </w:rPr>
      </w:r>
    </w:p>
    <w:sectPr>
      <w:headerReference r:id="rId6" w:type="first"/>
      <w:footerReference r:id="rId7" w:type="default"/>
      <w:footerReference r:id="rId8" w:type="first"/>
      <w:pgSz w:h="15840" w:w="12240" w:orient="portrait"/>
      <w:pgMar w:bottom="1440" w:top="1440" w:left="1440" w:right="1440" w:header="435"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tabs>
        <w:tab w:val="right" w:pos="8280"/>
      </w:tabs>
      <w:spacing w:line="240" w:lineRule="auto"/>
      <w:ind w:left="-425.19685039370086" w:firstLine="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tabs>
        <w:tab w:val="right" w:pos="8280"/>
      </w:tabs>
      <w:spacing w:line="240" w:lineRule="auto"/>
      <w:ind w:left="-425.19685039370086" w:firstLine="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ageBreakBefore w:val="0"/>
      <w:tabs>
        <w:tab w:val="right" w:pos="8280"/>
      </w:tabs>
      <w:spacing w:before="454" w:line="240" w:lineRule="auto"/>
      <w:ind w:left="-425.19685039370086" w:firstLine="0"/>
      <w:rPr>
        <w:rFonts w:ascii="Times New Roman" w:cs="Times New Roman" w:eastAsia="Times New Roman" w:hAnsi="Times New Roman"/>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rFonts w:ascii="Arial" w:cs="Arial" w:eastAsia="Arial" w:hAnsi="Arial"/>
        <w:b w:val="1"/>
        <w:u w:val="none"/>
      </w:rPr>
    </w:lvl>
    <w:lvl w:ilvl="1">
      <w:start w:val="1"/>
      <w:numFmt w:val="lowerLetter"/>
      <w:lvlText w:val="%2."/>
      <w:lvlJc w:val="left"/>
      <w:pPr>
        <w:ind w:left="1440" w:hanging="360"/>
      </w:pPr>
      <w:rPr/>
    </w:lvl>
    <w:lvl w:ilvl="2">
      <w:start w:val="1"/>
      <w:numFmt w:val="lowerRoman"/>
      <w:lvlText w:val="%2.%3."/>
      <w:lvlJc w:val="left"/>
      <w:pPr>
        <w:ind w:left="2160" w:hanging="180"/>
      </w:pPr>
      <w:rPr/>
    </w:lvl>
    <w:lvl w:ilvl="3">
      <w:start w:val="1"/>
      <w:numFmt w:val="decimal"/>
      <w:lvlText w:val="%2.%3.%4."/>
      <w:lvlJc w:val="left"/>
      <w:pPr>
        <w:ind w:left="2880" w:hanging="360"/>
      </w:pPr>
      <w:rPr/>
    </w:lvl>
    <w:lvl w:ilvl="4">
      <w:start w:val="1"/>
      <w:numFmt w:val="lowerLetter"/>
      <w:lvlText w:val="%2.%3.%4.%5."/>
      <w:lvlJc w:val="left"/>
      <w:pPr>
        <w:ind w:left="3600" w:hanging="360"/>
      </w:pPr>
      <w:rPr/>
    </w:lvl>
    <w:lvl w:ilvl="5">
      <w:start w:val="1"/>
      <w:numFmt w:val="lowerRoman"/>
      <w:lvlText w:val="%2.%3.%4.%5.%6."/>
      <w:lvlJc w:val="left"/>
      <w:pPr>
        <w:ind w:left="4320" w:hanging="180"/>
      </w:pPr>
      <w:rPr/>
    </w:lvl>
    <w:lvl w:ilvl="6">
      <w:start w:val="1"/>
      <w:numFmt w:val="decimal"/>
      <w:lvlText w:val="%2.%3.%4.%5.%6.%7."/>
      <w:lvlJc w:val="left"/>
      <w:pPr>
        <w:ind w:left="5040" w:hanging="360"/>
      </w:pPr>
      <w:rPr/>
    </w:lvl>
    <w:lvl w:ilvl="7">
      <w:start w:val="1"/>
      <w:numFmt w:val="lowerLetter"/>
      <w:lvlText w:val="%2.%3.%4.%5.%6.%7.%8."/>
      <w:lvlJc w:val="left"/>
      <w:pPr>
        <w:ind w:left="5760" w:hanging="360"/>
      </w:pPr>
      <w:rPr/>
    </w:lvl>
    <w:lvl w:ilvl="8">
      <w:start w:val="1"/>
      <w:numFmt w:val="lowerRoman"/>
      <w:lvlText w:val="%2.%3.%4.%5.%6.%7.%8.%9."/>
      <w:lvlJc w:val="lef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