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Nemzeti Adatvédelmi és Információszabadság Hatóság</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1055 Budapest, Falk Miksa utca 9-11.</w:t>
      </w:r>
    </w:p>
    <w:p w:rsidR="00000000" w:rsidDel="00000000" w:rsidP="00000000" w:rsidRDefault="00000000" w:rsidRPr="00000000" w14:paraId="00000003">
      <w:pPr>
        <w:pageBreakBefore w:val="0"/>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ageBreakBefore w:val="0"/>
        <w:spacing w:after="0" w:before="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Tárgy:</w:t>
      </w:r>
      <w:r w:rsidDel="00000000" w:rsidR="00000000" w:rsidRPr="00000000">
        <w:rPr>
          <w:rFonts w:ascii="Times New Roman" w:cs="Times New Roman" w:eastAsia="Times New Roman" w:hAnsi="Times New Roman"/>
          <w:rtl w:val="0"/>
        </w:rPr>
        <w:t xml:space="preserve"> adatvédelmi </w:t>
      </w:r>
      <w:r w:rsidDel="00000000" w:rsidR="00000000" w:rsidRPr="00000000">
        <w:rPr>
          <w:rFonts w:ascii="Times New Roman" w:cs="Times New Roman" w:eastAsia="Times New Roman" w:hAnsi="Times New Roman"/>
          <w:highlight w:val="white"/>
          <w:rtl w:val="0"/>
        </w:rPr>
        <w:t xml:space="preserve">hatósági eljárás</w:t>
      </w:r>
      <w:r w:rsidDel="00000000" w:rsidR="00000000" w:rsidRPr="00000000">
        <w:rPr>
          <w:rFonts w:ascii="Times New Roman" w:cs="Times New Roman" w:eastAsia="Times New Roman" w:hAnsi="Times New Roman"/>
          <w:rtl w:val="0"/>
        </w:rPr>
        <w:t xml:space="preserve"> kezdeményezése</w:t>
      </w:r>
    </w:p>
    <w:p w:rsidR="00000000" w:rsidDel="00000000" w:rsidP="00000000" w:rsidRDefault="00000000" w:rsidRPr="00000000" w14:paraId="00000005">
      <w:pPr>
        <w:pageBreakBefore w:val="0"/>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ageBreakBefore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pageBreakBefore w:val="0"/>
        <w:spacing w:after="0" w:before="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Tisztelt Nemzeti Adatvédelmi és Információszabadság Hatóság!</w:t>
      </w:r>
    </w:p>
    <w:p w:rsidR="00000000" w:rsidDel="00000000" w:rsidP="00000000" w:rsidRDefault="00000000" w:rsidRPr="00000000" w14:paraId="00000008">
      <w:pPr>
        <w:pageBreakBefore w:val="0"/>
        <w:spacing w:after="0" w:before="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spacing w:after="0" w:before="0" w:lineRule="auto"/>
        <w:rPr>
          <w:b w:val="1"/>
          <w:highlight w:val="yellow"/>
        </w:rPr>
      </w:pPr>
      <w:r w:rsidDel="00000000" w:rsidR="00000000" w:rsidRPr="00000000">
        <w:rPr>
          <w:b w:val="1"/>
          <w:highlight w:val="yellow"/>
          <w:rtl w:val="0"/>
        </w:rPr>
        <w:t xml:space="preserve">[VÁLASZD KI, HOGY KISKORÚ KÉPVISELETÉBEN VAGY A SAJÁT NEVEDBEN ADOD BE A KÉRELMET! A MÁSIK LEHETŐSÉGET ÉS A SÁRGÁVAL JELÖLT RÉSZEKET TÖRÖLD!]  </w:t>
      </w:r>
    </w:p>
    <w:p w:rsidR="00000000" w:rsidDel="00000000" w:rsidP="00000000" w:rsidRDefault="00000000" w:rsidRPr="00000000" w14:paraId="0000000A">
      <w:pPr>
        <w:pageBreakBefore w:val="0"/>
        <w:spacing w:after="0" w:before="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B">
      <w:pPr>
        <w:pageBreakBefore w:val="0"/>
        <w:spacing w:after="0" w:before="0" w:lineRule="auto"/>
        <w:jc w:val="both"/>
        <w:rPr>
          <w:b w:val="1"/>
          <w:highlight w:val="yellow"/>
        </w:rPr>
      </w:pPr>
      <w:r w:rsidDel="00000000" w:rsidR="00000000" w:rsidRPr="00000000">
        <w:rPr>
          <w:b w:val="1"/>
          <w:highlight w:val="yellow"/>
          <w:rtl w:val="0"/>
        </w:rPr>
        <w:t xml:space="preserve">[#1 KISKORÚ NEVÉBEN BEADOTT KÉRELEM]</w:t>
      </w:r>
    </w:p>
    <w:p w:rsidR="00000000" w:rsidDel="00000000" w:rsidP="00000000" w:rsidRDefault="00000000" w:rsidRPr="00000000" w14:paraId="0000000C">
      <w:pPr>
        <w:pageBreakBefore w:val="0"/>
        <w:spacing w:after="0" w:before="0" w:lineRule="auto"/>
        <w:jc w:val="both"/>
        <w:rPr>
          <w:rFonts w:ascii="Times New Roman" w:cs="Times New Roman" w:eastAsia="Times New Roman" w:hAnsi="Times New Roman"/>
          <w:shd w:fill="b6d7a8" w:val="clear"/>
        </w:rPr>
      </w:pPr>
      <w:r w:rsidDel="00000000" w:rsidR="00000000" w:rsidRPr="00000000">
        <w:rPr>
          <w:rFonts w:ascii="Times New Roman" w:cs="Times New Roman" w:eastAsia="Times New Roman" w:hAnsi="Times New Roman"/>
          <w:shd w:fill="b6d7a8" w:val="clear"/>
          <w:rtl w:val="0"/>
        </w:rPr>
        <w:t xml:space="preserve">Alulírott </w:t>
      </w:r>
      <w:r w:rsidDel="00000000" w:rsidR="00000000" w:rsidRPr="00000000">
        <w:rPr>
          <w:rFonts w:ascii="Times New Roman" w:cs="Times New Roman" w:eastAsia="Times New Roman" w:hAnsi="Times New Roman"/>
          <w:b w:val="1"/>
          <w:shd w:fill="b6d7a8" w:val="clear"/>
          <w:rtl w:val="0"/>
        </w:rPr>
        <w:t xml:space="preserve">[...................]</w:t>
      </w:r>
      <w:r w:rsidDel="00000000" w:rsidR="00000000" w:rsidRPr="00000000">
        <w:rPr>
          <w:rFonts w:ascii="Times New Roman" w:cs="Times New Roman" w:eastAsia="Times New Roman" w:hAnsi="Times New Roman"/>
          <w:shd w:fill="b6d7a8" w:val="clear"/>
          <w:rtl w:val="0"/>
        </w:rPr>
        <w:t xml:space="preserve"> (születési hely, idő: ………………… …………………, lakóhely: ………………… a. n.: …………………, sz. ig.: ………………….) mint kiskorú ………….. (születési hely, idő: ………………… …………………, lakóhely: ………………… a. n.: …………………, sz. ig.: …………………) törvényes képviselője, hivatkozva az információs önrendelkezési jogról és az információszabadságról szóló 2011. évi CXII. törvény (a továbbiakban: Infotv.) 22. § </w:t>
      </w:r>
      <w:r w:rsidDel="00000000" w:rsidR="00000000" w:rsidRPr="00000000">
        <w:rPr>
          <w:rFonts w:ascii="Times New Roman" w:cs="Times New Roman" w:eastAsia="Times New Roman" w:hAnsi="Times New Roman"/>
          <w:i w:val="1"/>
          <w:shd w:fill="b6d7a8" w:val="clear"/>
          <w:rtl w:val="0"/>
        </w:rPr>
        <w:t xml:space="preserve">b)</w:t>
      </w:r>
      <w:r w:rsidDel="00000000" w:rsidR="00000000" w:rsidRPr="00000000">
        <w:rPr>
          <w:rFonts w:ascii="Times New Roman" w:cs="Times New Roman" w:eastAsia="Times New Roman" w:hAnsi="Times New Roman"/>
          <w:shd w:fill="b6d7a8" w:val="clear"/>
          <w:rtl w:val="0"/>
        </w:rPr>
        <w:t xml:space="preserve"> pontjára, továbbá 60. § (2) bekezdésére, az alábbi</w:t>
      </w:r>
    </w:p>
    <w:p w:rsidR="00000000" w:rsidDel="00000000" w:rsidP="00000000" w:rsidRDefault="00000000" w:rsidRPr="00000000" w14:paraId="0000000D">
      <w:pPr>
        <w:pageBreakBefore w:val="0"/>
        <w:spacing w:after="0" w:before="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E">
      <w:pPr>
        <w:pageBreakBefore w:val="0"/>
        <w:spacing w:after="0" w:before="0" w:lineRule="auto"/>
        <w:jc w:val="both"/>
        <w:rPr>
          <w:b w:val="1"/>
          <w:highlight w:val="yellow"/>
        </w:rPr>
      </w:pPr>
      <w:r w:rsidDel="00000000" w:rsidR="00000000" w:rsidRPr="00000000">
        <w:rPr>
          <w:b w:val="1"/>
          <w:highlight w:val="yellow"/>
          <w:rtl w:val="0"/>
        </w:rPr>
        <w:t xml:space="preserve">[#2 SAJÁT NEVEDBEN BEADOTT KÉRELEM]</w:t>
      </w:r>
    </w:p>
    <w:p w:rsidR="00000000" w:rsidDel="00000000" w:rsidP="00000000" w:rsidRDefault="00000000" w:rsidRPr="00000000" w14:paraId="0000000F">
      <w:pPr>
        <w:jc w:val="both"/>
        <w:rPr>
          <w:rFonts w:ascii="Times New Roman" w:cs="Times New Roman" w:eastAsia="Times New Roman" w:hAnsi="Times New Roman"/>
          <w:shd w:fill="a4c2f4" w:val="clear"/>
        </w:rPr>
      </w:pPr>
      <w:r w:rsidDel="00000000" w:rsidR="00000000" w:rsidRPr="00000000">
        <w:rPr>
          <w:rFonts w:ascii="Times New Roman" w:cs="Times New Roman" w:eastAsia="Times New Roman" w:hAnsi="Times New Roman"/>
          <w:shd w:fill="a4c2f4" w:val="clear"/>
          <w:rtl w:val="0"/>
        </w:rPr>
        <w:t xml:space="preserve">Alulírott </w:t>
      </w:r>
      <w:r w:rsidDel="00000000" w:rsidR="00000000" w:rsidRPr="00000000">
        <w:rPr>
          <w:rFonts w:ascii="Times New Roman" w:cs="Times New Roman" w:eastAsia="Times New Roman" w:hAnsi="Times New Roman"/>
          <w:b w:val="1"/>
          <w:shd w:fill="a4c2f4" w:val="clear"/>
          <w:rtl w:val="0"/>
        </w:rPr>
        <w:t xml:space="preserve">[...................]</w:t>
      </w:r>
      <w:r w:rsidDel="00000000" w:rsidR="00000000" w:rsidRPr="00000000">
        <w:rPr>
          <w:rFonts w:ascii="Times New Roman" w:cs="Times New Roman" w:eastAsia="Times New Roman" w:hAnsi="Times New Roman"/>
          <w:shd w:fill="a4c2f4" w:val="clear"/>
          <w:rtl w:val="0"/>
        </w:rPr>
        <w:t xml:space="preserve"> (születési hely, idő: ………………… …………………, lakóhely: ………………… a. n.: …………………, sz. ig.: ………………….), hivatkozva az információs önrendelkezési jogról és az információszabadságról szóló 2011. évi CXII. törvény (a továbbiakban: Infotv.) 22. § </w:t>
      </w:r>
      <w:r w:rsidDel="00000000" w:rsidR="00000000" w:rsidRPr="00000000">
        <w:rPr>
          <w:rFonts w:ascii="Times New Roman" w:cs="Times New Roman" w:eastAsia="Times New Roman" w:hAnsi="Times New Roman"/>
          <w:i w:val="1"/>
          <w:shd w:fill="a4c2f4" w:val="clear"/>
          <w:rtl w:val="0"/>
        </w:rPr>
        <w:t xml:space="preserve">b)</w:t>
      </w:r>
      <w:r w:rsidDel="00000000" w:rsidR="00000000" w:rsidRPr="00000000">
        <w:rPr>
          <w:rFonts w:ascii="Times New Roman" w:cs="Times New Roman" w:eastAsia="Times New Roman" w:hAnsi="Times New Roman"/>
          <w:shd w:fill="a4c2f4" w:val="clear"/>
          <w:rtl w:val="0"/>
        </w:rPr>
        <w:t xml:space="preserve"> pontjára, továbbá 60. § (2) bekezdésére, az alábbi</w:t>
      </w:r>
    </w:p>
    <w:p w:rsidR="00000000" w:rsidDel="00000000" w:rsidP="00000000" w:rsidRDefault="00000000" w:rsidRPr="00000000" w14:paraId="00000010">
      <w:pPr>
        <w:pageBreakBefore w:val="0"/>
        <w:spacing w:after="0"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spacing w:after="0" w:before="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adatvédelmi hatósági eljárás iránti </w:t>
      </w:r>
      <w:r w:rsidDel="00000000" w:rsidR="00000000" w:rsidRPr="00000000">
        <w:rPr>
          <w:rFonts w:ascii="Times New Roman" w:cs="Times New Roman" w:eastAsia="Times New Roman" w:hAnsi="Times New Roman"/>
          <w:b w:val="1"/>
          <w:rtl w:val="0"/>
        </w:rPr>
        <w:t xml:space="preserve">kérelmet</w:t>
      </w:r>
      <w:r w:rsidDel="00000000" w:rsidR="00000000" w:rsidRPr="00000000">
        <w:rPr>
          <w:rtl w:val="0"/>
        </w:rPr>
      </w:r>
    </w:p>
    <w:p w:rsidR="00000000" w:rsidDel="00000000" w:rsidP="00000000" w:rsidRDefault="00000000" w:rsidRPr="00000000" w14:paraId="00000012">
      <w:pPr>
        <w:pageBreakBefore w:val="0"/>
        <w:spacing w:after="0"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spacing w:after="0" w:before="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terjesztem elő, mivel megítélésem szerint az </w:t>
      </w:r>
      <w:r w:rsidDel="00000000" w:rsidR="00000000" w:rsidRPr="00000000">
        <w:rPr>
          <w:rFonts w:ascii="Times New Roman" w:cs="Times New Roman" w:eastAsia="Times New Roman" w:hAnsi="Times New Roman"/>
          <w:b w:val="1"/>
          <w:rtl w:val="0"/>
        </w:rPr>
        <w:t xml:space="preserve">eKréta Informatikai Zrt.</w:t>
      </w:r>
      <w:r w:rsidDel="00000000" w:rsidR="00000000" w:rsidRPr="00000000">
        <w:rPr>
          <w:rFonts w:ascii="Times New Roman" w:cs="Times New Roman" w:eastAsia="Times New Roman" w:hAnsi="Times New Roman"/>
          <w:rtl w:val="0"/>
        </w:rPr>
        <w:t xml:space="preserve"> mint </w:t>
      </w:r>
      <w:r w:rsidDel="00000000" w:rsidR="00000000" w:rsidRPr="00000000">
        <w:rPr>
          <w:rFonts w:ascii="Times New Roman" w:cs="Times New Roman" w:eastAsia="Times New Roman" w:hAnsi="Times New Roman"/>
          <w:b w:val="1"/>
          <w:rtl w:val="0"/>
        </w:rPr>
        <w:t xml:space="preserve">adatfeldolgozó </w:t>
      </w:r>
      <w:r w:rsidDel="00000000" w:rsidR="00000000" w:rsidRPr="00000000">
        <w:rPr>
          <w:rFonts w:ascii="Times New Roman" w:cs="Times New Roman" w:eastAsia="Times New Roman" w:hAnsi="Times New Roman"/>
          <w:rtl w:val="0"/>
        </w:rPr>
        <w:t xml:space="preserve">(a továbbiakban: eKréta</w:t>
      </w:r>
      <w:r w:rsidDel="00000000" w:rsidR="00000000" w:rsidRPr="00000000">
        <w:rPr>
          <w:rFonts w:ascii="Times New Roman" w:cs="Times New Roman" w:eastAsia="Times New Roman" w:hAnsi="Times New Roman"/>
          <w:rtl w:val="0"/>
        </w:rPr>
        <w:t xml:space="preserve"> / adatfeldolgozó;</w:t>
      </w:r>
      <w:r w:rsidDel="00000000" w:rsidR="00000000" w:rsidRPr="00000000">
        <w:rPr>
          <w:rFonts w:ascii="Times New Roman" w:cs="Times New Roman" w:eastAsia="Times New Roman" w:hAnsi="Times New Roman"/>
          <w:rtl w:val="0"/>
        </w:rPr>
        <w:t xml:space="preserve"> székhely: </w:t>
      </w:r>
      <w:r w:rsidDel="00000000" w:rsidR="00000000" w:rsidRPr="00000000">
        <w:rPr>
          <w:rFonts w:ascii="Times New Roman" w:cs="Times New Roman" w:eastAsia="Times New Roman" w:hAnsi="Times New Roman"/>
          <w:highlight w:val="white"/>
          <w:rtl w:val="0"/>
        </w:rPr>
        <w:t xml:space="preserve">1111 Budapest, Budafoki út 59.</w:t>
      </w:r>
      <w:r w:rsidDel="00000000" w:rsidR="00000000" w:rsidRPr="00000000">
        <w:rPr>
          <w:rFonts w:ascii="Times New Roman" w:cs="Times New Roman" w:eastAsia="Times New Roman" w:hAnsi="Times New Roman"/>
          <w:rtl w:val="0"/>
        </w:rPr>
        <w:t xml:space="preserve">; adószám: </w:t>
      </w:r>
      <w:r w:rsidDel="00000000" w:rsidR="00000000" w:rsidRPr="00000000">
        <w:rPr>
          <w:rFonts w:ascii="Times New Roman" w:cs="Times New Roman" w:eastAsia="Times New Roman" w:hAnsi="Times New Roman"/>
          <w:highlight w:val="white"/>
          <w:rtl w:val="0"/>
        </w:rPr>
        <w:t xml:space="preserve">25707144-2-43</w:t>
      </w:r>
      <w:r w:rsidDel="00000000" w:rsidR="00000000" w:rsidRPr="00000000">
        <w:rPr>
          <w:rFonts w:ascii="Times New Roman" w:cs="Times New Roman" w:eastAsia="Times New Roman" w:hAnsi="Times New Roman"/>
          <w:rtl w:val="0"/>
        </w:rPr>
        <w:t xml:space="preserve">; cégjegyzékszám: </w:t>
      </w:r>
      <w:r w:rsidDel="00000000" w:rsidR="00000000" w:rsidRPr="00000000">
        <w:rPr>
          <w:rFonts w:ascii="Times New Roman" w:cs="Times New Roman" w:eastAsia="Times New Roman" w:hAnsi="Times New Roman"/>
          <w:highlight w:val="white"/>
          <w:rtl w:val="0"/>
        </w:rPr>
        <w:t xml:space="preserve">01-10-140310</w:t>
      </w:r>
      <w:r w:rsidDel="00000000" w:rsidR="00000000" w:rsidRPr="00000000">
        <w:rPr>
          <w:rFonts w:ascii="Times New Roman" w:cs="Times New Roman" w:eastAsia="Times New Roman" w:hAnsi="Times New Roman"/>
          <w:rtl w:val="0"/>
        </w:rPr>
        <w:t xml:space="preserve">; nyilvántartó szerv: </w:t>
      </w:r>
      <w:r w:rsidDel="00000000" w:rsidR="00000000" w:rsidRPr="00000000">
        <w:rPr>
          <w:rFonts w:ascii="Times New Roman" w:cs="Times New Roman" w:eastAsia="Times New Roman" w:hAnsi="Times New Roman"/>
          <w:highlight w:val="white"/>
          <w:rtl w:val="0"/>
        </w:rPr>
        <w:t xml:space="preserve">Fővárosi Törvényszék Cégbírósága</w:t>
      </w:r>
      <w:r w:rsidDel="00000000" w:rsidR="00000000" w:rsidRPr="00000000">
        <w:rPr>
          <w:rFonts w:ascii="Times New Roman" w:cs="Times New Roman" w:eastAsia="Times New Roman" w:hAnsi="Times New Roman"/>
          <w:rtl w:val="0"/>
        </w:rPr>
        <w:t xml:space="preserve">; törvényes képviselő: </w:t>
      </w:r>
      <w:r w:rsidDel="00000000" w:rsidR="00000000" w:rsidRPr="00000000">
        <w:rPr>
          <w:rFonts w:ascii="Times New Roman" w:cs="Times New Roman" w:eastAsia="Times New Roman" w:hAnsi="Times New Roman"/>
          <w:highlight w:val="white"/>
          <w:rtl w:val="0"/>
        </w:rPr>
        <w:t xml:space="preserve">Dr. Szabó Balázs</w:t>
      </w:r>
      <w:r w:rsidDel="00000000" w:rsidR="00000000" w:rsidRPr="00000000">
        <w:rPr>
          <w:rFonts w:ascii="Times New Roman" w:cs="Times New Roman" w:eastAsia="Times New Roman" w:hAnsi="Times New Roman"/>
          <w:rtl w:val="0"/>
        </w:rPr>
        <w:t xml:space="preserve">) megsértette </w:t>
      </w:r>
      <w:r w:rsidDel="00000000" w:rsidR="00000000" w:rsidRPr="00000000">
        <w:rPr>
          <w:rFonts w:ascii="Times New Roman" w:cs="Times New Roman" w:eastAsia="Times New Roman" w:hAnsi="Times New Roman"/>
          <w:highlight w:val="white"/>
          <w:rtl w:val="0"/>
        </w:rPr>
        <w:t xml:space="preserve">az</w:t>
      </w:r>
      <w:r w:rsidDel="00000000" w:rsidR="00000000" w:rsidRPr="00000000">
        <w:rPr>
          <w:rFonts w:ascii="Times New Roman" w:cs="Times New Roman" w:eastAsia="Times New Roman" w:hAnsi="Times New Roman"/>
          <w:highlight w:val="white"/>
          <w:rtl w:val="0"/>
        </w:rPr>
        <w:t xml:space="preserve"> Európai Parlament és a Tanács (EU) 2016/679 rendelete (a továbbiakban: általános adatvédelmi rendelet / GDPR) 33. cikk (2) bekezdését, valamint az 5. cikk (1) </w:t>
      </w:r>
      <w:r w:rsidDel="00000000" w:rsidR="00000000" w:rsidRPr="00000000">
        <w:rPr>
          <w:rFonts w:ascii="Times New Roman" w:cs="Times New Roman" w:eastAsia="Times New Roman" w:hAnsi="Times New Roman"/>
          <w:i w:val="1"/>
          <w:highlight w:val="white"/>
          <w:rtl w:val="0"/>
        </w:rPr>
        <w:t xml:space="preserve">a)</w:t>
      </w:r>
      <w:r w:rsidDel="00000000" w:rsidR="00000000" w:rsidRPr="00000000">
        <w:rPr>
          <w:rFonts w:ascii="Times New Roman" w:cs="Times New Roman" w:eastAsia="Times New Roman" w:hAnsi="Times New Roman"/>
          <w:highlight w:val="white"/>
          <w:rtl w:val="0"/>
        </w:rPr>
        <w:t xml:space="preserve"> pontját.</w:t>
      </w:r>
      <w:r w:rsidDel="00000000" w:rsidR="00000000" w:rsidRPr="00000000">
        <w:rPr>
          <w:rtl w:val="0"/>
        </w:rPr>
      </w:r>
    </w:p>
    <w:p w:rsidR="00000000" w:rsidDel="00000000" w:rsidP="00000000" w:rsidRDefault="00000000" w:rsidRPr="00000000" w14:paraId="00000014">
      <w:pPr>
        <w:pageBreakBefore w:val="0"/>
        <w:spacing w:after="0"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spacing w:after="0" w:before="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Kérem, hogy a T. Hatóság az </w:t>
      </w:r>
      <w:r w:rsidDel="00000000" w:rsidR="00000000" w:rsidRPr="00000000">
        <w:rPr>
          <w:rFonts w:ascii="Times New Roman" w:cs="Times New Roman" w:eastAsia="Times New Roman" w:hAnsi="Times New Roman"/>
          <w:highlight w:val="white"/>
          <w:rtl w:val="0"/>
        </w:rPr>
        <w:t xml:space="preserve">Infotv. 61. § (1) </w:t>
      </w:r>
      <w:r w:rsidDel="00000000" w:rsidR="00000000" w:rsidRPr="00000000">
        <w:rPr>
          <w:rFonts w:ascii="Times New Roman" w:cs="Times New Roman" w:eastAsia="Times New Roman" w:hAnsi="Times New Roman"/>
          <w:i w:val="1"/>
          <w:highlight w:val="white"/>
          <w:rtl w:val="0"/>
        </w:rPr>
        <w:t xml:space="preserve">a)</w:t>
      </w:r>
      <w:r w:rsidDel="00000000" w:rsidR="00000000" w:rsidRPr="00000000">
        <w:rPr>
          <w:rFonts w:ascii="Times New Roman" w:cs="Times New Roman" w:eastAsia="Times New Roman" w:hAnsi="Times New Roman"/>
          <w:highlight w:val="white"/>
          <w:rtl w:val="0"/>
        </w:rPr>
        <w:t xml:space="preserve"> pontja és</w:t>
      </w:r>
    </w:p>
    <w:p w:rsidR="00000000" w:rsidDel="00000000" w:rsidP="00000000" w:rsidRDefault="00000000" w:rsidRPr="00000000" w14:paraId="00000016">
      <w:pPr>
        <w:pageBreakBefore w:val="0"/>
        <w:numPr>
          <w:ilvl w:val="0"/>
          <w:numId w:val="2"/>
        </w:numPr>
        <w:spacing w:after="0" w:before="0" w:lineRule="auto"/>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GDPR 58. cikk (2) </w:t>
      </w:r>
      <w:r w:rsidDel="00000000" w:rsidR="00000000" w:rsidRPr="00000000">
        <w:rPr>
          <w:rFonts w:ascii="Times New Roman" w:cs="Times New Roman" w:eastAsia="Times New Roman" w:hAnsi="Times New Roman"/>
          <w:i w:val="1"/>
          <w:highlight w:val="white"/>
          <w:rtl w:val="0"/>
        </w:rPr>
        <w:t xml:space="preserve">b)</w:t>
      </w:r>
      <w:r w:rsidDel="00000000" w:rsidR="00000000" w:rsidRPr="00000000">
        <w:rPr>
          <w:rFonts w:ascii="Times New Roman" w:cs="Times New Roman" w:eastAsia="Times New Roman" w:hAnsi="Times New Roman"/>
          <w:highlight w:val="white"/>
          <w:rtl w:val="0"/>
        </w:rPr>
        <w:t xml:space="preserve"> pontja alapján </w:t>
      </w:r>
      <w:r w:rsidDel="00000000" w:rsidR="00000000" w:rsidRPr="00000000">
        <w:rPr>
          <w:rFonts w:ascii="Times New Roman" w:cs="Times New Roman" w:eastAsia="Times New Roman" w:hAnsi="Times New Roman"/>
          <w:b w:val="1"/>
          <w:highlight w:val="white"/>
          <w:rtl w:val="0"/>
        </w:rPr>
        <w:t xml:space="preserve">marasztalja el az adatfeldolgozót</w:t>
      </w:r>
      <w:r w:rsidDel="00000000" w:rsidR="00000000" w:rsidRPr="00000000">
        <w:rPr>
          <w:rFonts w:ascii="Times New Roman" w:cs="Times New Roman" w:eastAsia="Times New Roman" w:hAnsi="Times New Roman"/>
          <w:highlight w:val="white"/>
          <w:rtl w:val="0"/>
        </w:rPr>
        <w:t xml:space="preserve">, és</w:t>
      </w:r>
    </w:p>
    <w:p w:rsidR="00000000" w:rsidDel="00000000" w:rsidP="00000000" w:rsidRDefault="00000000" w:rsidRPr="00000000" w14:paraId="00000017">
      <w:pPr>
        <w:pageBreakBefore w:val="0"/>
        <w:numPr>
          <w:ilvl w:val="0"/>
          <w:numId w:val="2"/>
        </w:numPr>
        <w:spacing w:after="0" w:before="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highlight w:val="white"/>
          <w:rtl w:val="0"/>
        </w:rPr>
        <w:t xml:space="preserve">a GDPR 58. cikk (2) </w:t>
      </w:r>
      <w:r w:rsidDel="00000000" w:rsidR="00000000" w:rsidRPr="00000000">
        <w:rPr>
          <w:rFonts w:ascii="Times New Roman" w:cs="Times New Roman" w:eastAsia="Times New Roman" w:hAnsi="Times New Roman"/>
          <w:i w:val="1"/>
          <w:highlight w:val="white"/>
          <w:rtl w:val="0"/>
        </w:rPr>
        <w:t xml:space="preserve">i)</w:t>
      </w:r>
      <w:r w:rsidDel="00000000" w:rsidR="00000000" w:rsidRPr="00000000">
        <w:rPr>
          <w:rFonts w:ascii="Times New Roman" w:cs="Times New Roman" w:eastAsia="Times New Roman" w:hAnsi="Times New Roman"/>
          <w:highlight w:val="white"/>
          <w:rtl w:val="0"/>
        </w:rPr>
        <w:t xml:space="preserve"> pontja alapján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szabjon ki közigazgatási bírságot.</w:t>
      </w:r>
    </w:p>
    <w:p w:rsidR="00000000" w:rsidDel="00000000" w:rsidP="00000000" w:rsidRDefault="00000000" w:rsidRPr="00000000" w14:paraId="00000018">
      <w:pPr>
        <w:pageBreakBefore w:val="0"/>
        <w:spacing w:after="0"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spacing w:after="0" w:before="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Kérem továbbá, hogy a T. Hatóság az Infotv. 61. § (2) bekezdés </w:t>
      </w:r>
      <w:r w:rsidDel="00000000" w:rsidR="00000000" w:rsidRPr="00000000">
        <w:rPr>
          <w:rFonts w:ascii="Times New Roman" w:cs="Times New Roman" w:eastAsia="Times New Roman" w:hAnsi="Times New Roman"/>
          <w:i w:val="1"/>
          <w:rtl w:val="0"/>
        </w:rPr>
        <w:t xml:space="preserve">a)</w:t>
      </w:r>
      <w:r w:rsidDel="00000000" w:rsidR="00000000" w:rsidRPr="00000000">
        <w:rPr>
          <w:rFonts w:ascii="Times New Roman" w:cs="Times New Roman" w:eastAsia="Times New Roman" w:hAnsi="Times New Roman"/>
          <w:rtl w:val="0"/>
        </w:rPr>
        <w:t xml:space="preserve"> és </w:t>
      </w:r>
      <w:r w:rsidDel="00000000" w:rsidR="00000000" w:rsidRPr="00000000">
        <w:rPr>
          <w:rFonts w:ascii="Times New Roman" w:cs="Times New Roman" w:eastAsia="Times New Roman" w:hAnsi="Times New Roman"/>
          <w:i w:val="1"/>
          <w:rtl w:val="0"/>
        </w:rPr>
        <w:t xml:space="preserve">c)</w:t>
      </w:r>
      <w:r w:rsidDel="00000000" w:rsidR="00000000" w:rsidRPr="00000000">
        <w:rPr>
          <w:rFonts w:ascii="Times New Roman" w:cs="Times New Roman" w:eastAsia="Times New Roman" w:hAnsi="Times New Roman"/>
          <w:rtl w:val="0"/>
        </w:rPr>
        <w:t xml:space="preserve"> pontjaira tekintettel </w:t>
      </w:r>
      <w:r w:rsidDel="00000000" w:rsidR="00000000" w:rsidRPr="00000000">
        <w:rPr>
          <w:rFonts w:ascii="Times New Roman" w:cs="Times New Roman" w:eastAsia="Times New Roman" w:hAnsi="Times New Roman"/>
          <w:b w:val="1"/>
          <w:rtl w:val="0"/>
        </w:rPr>
        <w:t xml:space="preserve">rendelje el határozatának az adatfeldolgozó azonosító adatainak közzétételével történő nyilvánosságra hozatalát,</w:t>
      </w:r>
      <w:r w:rsidDel="00000000" w:rsidR="00000000" w:rsidRPr="00000000">
        <w:rPr>
          <w:rFonts w:ascii="Times New Roman" w:cs="Times New Roman" w:eastAsia="Times New Roman" w:hAnsi="Times New Roman"/>
          <w:rtl w:val="0"/>
        </w:rPr>
        <w:t xml:space="preserve"> mert – az alábbiakban kifejtettek szerint – a határozat személyek széles körét érinti és a bekövetkezett jogsérelem súlya a nyilvánosságra hozatalt indokolja.</w:t>
      </w:r>
    </w:p>
    <w:p w:rsidR="00000000" w:rsidDel="00000000" w:rsidP="00000000" w:rsidRDefault="00000000" w:rsidRPr="00000000" w14:paraId="0000001A">
      <w:pPr>
        <w:pageBreakBefore w:val="0"/>
        <w:spacing w:after="0"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numPr>
          <w:ilvl w:val="0"/>
          <w:numId w:val="1"/>
        </w:numPr>
        <w:spacing w:after="0" w:before="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Tényállás</w:t>
      </w:r>
    </w:p>
    <w:p w:rsidR="00000000" w:rsidDel="00000000" w:rsidP="00000000" w:rsidRDefault="00000000" w:rsidRPr="00000000" w14:paraId="0000001C">
      <w:pPr>
        <w:pageBreakBefore w:val="0"/>
        <w:spacing w:after="0"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ageBreakBefore w:val="0"/>
        <w:jc w:val="both"/>
        <w:rPr>
          <w:b w:val="1"/>
          <w:highlight w:val="yellow"/>
        </w:rPr>
      </w:pPr>
      <w:r w:rsidDel="00000000" w:rsidR="00000000" w:rsidRPr="00000000">
        <w:rPr>
          <w:b w:val="1"/>
          <w:highlight w:val="yellow"/>
          <w:rtl w:val="0"/>
        </w:rPr>
        <w:t xml:space="preserve">[AZ ALÁBBI RÉSZT TÖLTSD KI ÉRTELEMSZERŰEN, EZT A SZÖVEGRÉSZT PEDIG TÖRÖLD!]</w:t>
      </w:r>
    </w:p>
    <w:p w:rsidR="00000000" w:rsidDel="00000000" w:rsidP="00000000" w:rsidRDefault="00000000" w:rsidRPr="00000000" w14:paraId="0000001E">
      <w:pPr>
        <w:pageBreakBefore w:val="0"/>
        <w:jc w:val="both"/>
        <w:rPr>
          <w:rFonts w:ascii="Times New Roman" w:cs="Times New Roman" w:eastAsia="Times New Roman" w:hAnsi="Times New Roman"/>
          <w:shd w:fill="b6d7a8" w:val="clear"/>
        </w:rPr>
      </w:pPr>
      <w:r w:rsidDel="00000000" w:rsidR="00000000" w:rsidRPr="00000000">
        <w:rPr>
          <w:rFonts w:ascii="Times New Roman" w:cs="Times New Roman" w:eastAsia="Times New Roman" w:hAnsi="Times New Roman"/>
          <w:shd w:fill="b6d7a8" w:val="clear"/>
          <w:rtl w:val="0"/>
        </w:rPr>
        <w:t xml:space="preserve">Az adatvédelmi incidenssel lehetségesen érintett oktatási intézmény neve: …………..</w:t>
      </w:r>
    </w:p>
    <w:p w:rsidR="00000000" w:rsidDel="00000000" w:rsidP="00000000" w:rsidRDefault="00000000" w:rsidRPr="00000000" w14:paraId="0000001F">
      <w:pPr>
        <w:pageBreakBefore w:val="0"/>
        <w:jc w:val="both"/>
        <w:rPr>
          <w:rFonts w:ascii="Times New Roman" w:cs="Times New Roman" w:eastAsia="Times New Roman" w:hAnsi="Times New Roman"/>
          <w:shd w:fill="b6d7a8" w:val="clear"/>
        </w:rPr>
      </w:pPr>
      <w:r w:rsidDel="00000000" w:rsidR="00000000" w:rsidRPr="00000000">
        <w:rPr>
          <w:rFonts w:ascii="Times New Roman" w:cs="Times New Roman" w:eastAsia="Times New Roman" w:hAnsi="Times New Roman"/>
          <w:shd w:fill="b6d7a8" w:val="clear"/>
          <w:rtl w:val="0"/>
        </w:rPr>
        <w:t xml:space="preserve">Az oktatási  intézménynek tanulója vagyok / pedagógusa vagyok / gyermekem tanulója.</w:t>
      </w:r>
    </w:p>
    <w:p w:rsidR="00000000" w:rsidDel="00000000" w:rsidP="00000000" w:rsidRDefault="00000000" w:rsidRPr="00000000" w14:paraId="00000020">
      <w:pPr>
        <w:pageBreakBefore w:val="0"/>
        <w:jc w:val="both"/>
        <w:rPr>
          <w:rFonts w:ascii="Times New Roman" w:cs="Times New Roman" w:eastAsia="Times New Roman" w:hAnsi="Times New Roman"/>
          <w:shd w:fill="b6d7a8" w:val="clear"/>
        </w:rPr>
      </w:pPr>
      <w:r w:rsidDel="00000000" w:rsidR="00000000" w:rsidRPr="00000000">
        <w:rPr>
          <w:rFonts w:ascii="Times New Roman" w:cs="Times New Roman" w:eastAsia="Times New Roman" w:hAnsi="Times New Roman"/>
          <w:shd w:fill="b6d7a8" w:val="clear"/>
          <w:rtl w:val="0"/>
        </w:rPr>
        <w:t xml:space="preserve">Az oktatási intézmény 2022. XX. XX-án értesített az adatvédelmi incidensről.</w:t>
      </w:r>
    </w:p>
    <w:p w:rsidR="00000000" w:rsidDel="00000000" w:rsidP="00000000" w:rsidRDefault="00000000" w:rsidRPr="00000000" w14:paraId="00000021">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 november 7-én írta meg a telex.hu hírportál</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hogy adathalász támadás ér</w:t>
      </w:r>
      <w:r w:rsidDel="00000000" w:rsidR="00000000" w:rsidRPr="00000000">
        <w:rPr>
          <w:rFonts w:ascii="Times New Roman" w:cs="Times New Roman" w:eastAsia="Times New Roman" w:hAnsi="Times New Roman"/>
          <w:rtl w:val="0"/>
        </w:rPr>
        <w:t xml:space="preserve">het</w:t>
      </w:r>
      <w:r w:rsidDel="00000000" w:rsidR="00000000" w:rsidRPr="00000000">
        <w:rPr>
          <w:rFonts w:ascii="Times New Roman" w:cs="Times New Roman" w:eastAsia="Times New Roman" w:hAnsi="Times New Roman"/>
          <w:rtl w:val="0"/>
        </w:rPr>
        <w:t xml:space="preserve">te a Köznevelési Regisztrációs és Tanulmányi Alaprendszer (KRÉTA-rendszer) fejlesztőjét, az eKréta </w:t>
      </w:r>
      <w:r w:rsidDel="00000000" w:rsidR="00000000" w:rsidRPr="00000000">
        <w:rPr>
          <w:rFonts w:ascii="Times New Roman" w:cs="Times New Roman" w:eastAsia="Times New Roman" w:hAnsi="Times New Roman"/>
          <w:rtl w:val="0"/>
        </w:rPr>
        <w:t xml:space="preserve">Informatikai Zrt.-t. A későbbiekben bebizonyosodott, hogy a cégtől hackerek 238 gigabyte-nyi adatot, köztük feltételezhetően személyes és különleges személyes adatot szerezhettek meg</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A hackerek saját bevallása szerint több tízezer személy lehet érintett az adatvédelmi incidenssel: lényegében a közoktatási adatbázisban szereplő minden tanuló, szülő és pedagógus.</w:t>
      </w:r>
    </w:p>
    <w:p w:rsidR="00000000" w:rsidDel="00000000" w:rsidP="00000000" w:rsidRDefault="00000000" w:rsidRPr="00000000" w14:paraId="00000023">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sajtóból elérhető információk szerint az adatfeldolgozó nemhogy nem tett eleget a GDPR 33. cikk (2) bekezdésében foglalt értesítési kötelezettségének az adatkezelők felé, de egyenesen megpróbálta elhallgatni az incidenst. Az egyik fentebb idézett cikk szerint az adathalász támadással célba vett projektvezető így fogalmazott: </w:t>
      </w:r>
      <w:r w:rsidDel="00000000" w:rsidR="00000000" w:rsidRPr="00000000">
        <w:rPr>
          <w:rFonts w:ascii="Times New Roman" w:cs="Times New Roman" w:eastAsia="Times New Roman" w:hAnsi="Times New Roman"/>
          <w:i w:val="1"/>
          <w:rtl w:val="0"/>
        </w:rPr>
        <w:t xml:space="preserve">„A csütörtöki megbeszélésünk után maradt bennem rossz érzés, hogy megfelelően járunk-e el. Az egy fontos megállapítás volt részedről, hogy vagy végig igazat kell mondani, vagy végig tagadni, de menet közben nincs módosítási lehetőség. Azt szeretném, hogy tudd, hogy én tényleg nem tudok hazudni, de nem is szeretnék.”</w:t>
      </w:r>
      <w:r w:rsidDel="00000000" w:rsidR="00000000" w:rsidRPr="00000000">
        <w:rPr>
          <w:rFonts w:ascii="Times New Roman" w:cs="Times New Roman" w:eastAsia="Times New Roman" w:hAnsi="Times New Roman"/>
          <w:rtl w:val="0"/>
        </w:rPr>
        <w:t xml:space="preserve"> Annak ismeretében, hogy a T. Hatóság és a lehetséges érintettek is csak jóval a támadás után, a sajtóból értesültek a történtekről, világos, hogy az adatfeldolgozó végül az adatvédelmi incidens elhallgatása mellett döntött.</w:t>
      </w:r>
      <w:r w:rsidDel="00000000" w:rsidR="00000000" w:rsidRPr="00000000">
        <w:rPr>
          <w:rtl w:val="0"/>
        </w:rPr>
      </w:r>
    </w:p>
    <w:p w:rsidR="00000000" w:rsidDel="00000000" w:rsidP="00000000" w:rsidRDefault="00000000" w:rsidRPr="00000000" w14:paraId="00000025">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ageBreakBefore w:val="0"/>
        <w:numPr>
          <w:ilvl w:val="0"/>
          <w:numId w:val="3"/>
        </w:numPr>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kérelem benyújtásának jogi indokolása</w:t>
      </w:r>
    </w:p>
    <w:p w:rsidR="00000000" w:rsidDel="00000000" w:rsidP="00000000" w:rsidRDefault="00000000" w:rsidRPr="00000000" w14:paraId="00000027">
      <w:pPr>
        <w:pageBreakBefore w:val="0"/>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pageBreakBefore w:val="0"/>
        <w:numPr>
          <w:ilvl w:val="1"/>
          <w:numId w:val="3"/>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adatfeldolgozó</w:t>
      </w:r>
    </w:p>
    <w:p w:rsidR="00000000" w:rsidDel="00000000" w:rsidP="00000000" w:rsidRDefault="00000000" w:rsidRPr="00000000" w14:paraId="00000029">
      <w:pPr>
        <w:pageBreakBefore w:val="0"/>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pageBreakBefore w:val="0"/>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eKréta Informatikai Zrt. adatkezelési tájékoztatója</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szerint az adatkezelők az egyes közoktatási intézmények, az adatfeldolgozók pedig: az állami fenntartású intézmények esetében a Klebelsberg Központ; </w:t>
      </w:r>
      <w:r w:rsidDel="00000000" w:rsidR="00000000" w:rsidRPr="00000000">
        <w:rPr>
          <w:rFonts w:ascii="Times New Roman" w:cs="Times New Roman" w:eastAsia="Times New Roman" w:hAnsi="Times New Roman"/>
          <w:rtl w:val="0"/>
        </w:rPr>
        <w:t xml:space="preserve">a Herman Ottó Intézet Nonprofit Kft., illetve a nem állami fenntartásban lévő oktatási intézmények esetében (pl. egyházi, alapítványi oktatási intézmények) – a velük kötött terméktámogatási  szerződés alapján – az eKRÉTA Informatikai Zrt. Az adatvédelmi tájékoztató ezen kívül hivatkozik a hatályát vesztett 146/2015 (VI.12) Korm. rendeletre is.</w:t>
      </w:r>
    </w:p>
    <w:p w:rsidR="00000000" w:rsidDel="00000000" w:rsidP="00000000" w:rsidRDefault="00000000" w:rsidRPr="00000000" w14:paraId="0000002B">
      <w:pPr>
        <w:pageBreakBefore w:val="0"/>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ageBreakBefore w:val="0"/>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tájékoztató szerint „Az eKRÉTA Informatikai Zrt. adatkezelői tevékenységet nem végez, feladata a KRÉTA rendszer fejlesztése és működésének támogatása. A Felhasználók által megadott személyes adatokhoz az Adatkezelő – jellemzően az oktatási, nevelési feladatot ellátó intézmény – felhatalmazott munkatársai férhetnek hozzá. Az intézmény adatkezelési tevékenységéért az intézmény igazgatója egy személyben felelős. Adatkezelési jogkörének gyakorlásával az intézmény vele jogviszonyban lévő munkatársát hatalmazhatja fel”.</w:t>
      </w:r>
    </w:p>
    <w:p w:rsidR="00000000" w:rsidDel="00000000" w:rsidP="00000000" w:rsidRDefault="00000000" w:rsidRPr="00000000" w14:paraId="0000002D">
      <w:pPr>
        <w:pageBreakBefore w:val="0"/>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ageBreakBefore w:val="0"/>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Bár a Klebelsberg Központ és az eKRÉTA Informatikai Zrt.. közötti viszony az adatkezelési tájékoztató alapján nem világos, a GDPR 4. cikk 8. pontja szerint </w:t>
      </w:r>
      <w:r w:rsidDel="00000000" w:rsidR="00000000" w:rsidRPr="00000000">
        <w:rPr>
          <w:rFonts w:ascii="Times New Roman" w:cs="Times New Roman" w:eastAsia="Times New Roman" w:hAnsi="Times New Roman"/>
          <w:rtl w:val="0"/>
        </w:rPr>
        <w:t xml:space="preserve">„adatfeldolgozó”: az a természetes vagy jogi személy, közhatalmi szerv, ügynökség vagy bármely egyéb szerv, amely az adatkezelő nevében személyes adatokat kezel. </w:t>
      </w:r>
      <w:r w:rsidDel="00000000" w:rsidR="00000000" w:rsidRPr="00000000">
        <w:rPr>
          <w:rFonts w:ascii="Times New Roman" w:cs="Times New Roman" w:eastAsia="Times New Roman" w:hAnsi="Times New Roman"/>
          <w:rtl w:val="0"/>
        </w:rPr>
        <w:t xml:space="preserve">Mivel az eKRÉTA Informatikai Zrt. </w:t>
      </w:r>
      <w:r w:rsidDel="00000000" w:rsidR="00000000" w:rsidRPr="00000000">
        <w:rPr>
          <w:rFonts w:ascii="Times New Roman" w:cs="Times New Roman" w:eastAsia="Times New Roman" w:hAnsi="Times New Roman"/>
          <w:rtl w:val="0"/>
        </w:rPr>
        <w:t xml:space="preserve">nyilvánvalóan adatkezelési műveleteket, legalábbis tárolást végzett</w:t>
      </w:r>
      <w:r w:rsidDel="00000000" w:rsidR="00000000" w:rsidRPr="00000000">
        <w:rPr>
          <w:rFonts w:ascii="Times New Roman" w:cs="Times New Roman" w:eastAsia="Times New Roman" w:hAnsi="Times New Roman"/>
          <w:rtl w:val="0"/>
        </w:rPr>
        <w:t xml:space="preserve"> az állami intézmények tekintetében is – máskülönben ezeket az adatokat tőle nem lehetett volna megszerezni –, az adatfeldolgozói minősége nem kérdéses, akkor sem, ha ezt sem jogszabály, sem szerződés nem rögzíti. </w:t>
      </w:r>
      <w:r w:rsidDel="00000000" w:rsidR="00000000" w:rsidRPr="00000000">
        <w:rPr>
          <w:rFonts w:ascii="Times New Roman" w:cs="Times New Roman" w:eastAsia="Times New Roman" w:hAnsi="Times New Roman"/>
          <w:rtl w:val="0"/>
        </w:rPr>
        <w:t xml:space="preserve">Ha az adatfeldolgozásnak sem jogszabályi, sem szerződéses alapja nincs, akkor a GDPR 28. cikk (3) bekezdésének a sérelme is felmerül (</w:t>
      </w:r>
      <w:r w:rsidDel="00000000" w:rsidR="00000000" w:rsidRPr="00000000">
        <w:rPr>
          <w:rFonts w:ascii="Times New Roman" w:cs="Times New Roman" w:eastAsia="Times New Roman" w:hAnsi="Times New Roman"/>
          <w:i w:val="1"/>
          <w:rtl w:val="0"/>
        </w:rPr>
        <w:t xml:space="preserve">„Az adatfeldolgozó által végzett adatkezelést az uniós jog vagy tagállami jog alapján létrejött [...] szerződésnek vagy más jogi aktusnak kell szabályoznia.”</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F">
      <w:pPr>
        <w:pageBreakBefore w:val="0"/>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pageBreakBefore w:val="0"/>
        <w:numPr>
          <w:ilvl w:val="1"/>
          <w:numId w:val="3"/>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adatvédelmi incidens bejelentésének elmulasztása</w:t>
      </w:r>
    </w:p>
    <w:p w:rsidR="00000000" w:rsidDel="00000000" w:rsidP="00000000" w:rsidRDefault="00000000" w:rsidRPr="00000000" w14:paraId="00000031">
      <w:pPr>
        <w:pageBreakBefore w:val="0"/>
        <w:spacing w:after="0"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ageBreakBefore w:val="0"/>
        <w:spacing w:after="0" w:before="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 GDPR 33. cikk (2) bekezdése szerint: </w:t>
      </w:r>
      <w:r w:rsidDel="00000000" w:rsidR="00000000" w:rsidRPr="00000000">
        <w:rPr>
          <w:rFonts w:ascii="Times New Roman" w:cs="Times New Roman" w:eastAsia="Times New Roman" w:hAnsi="Times New Roman"/>
          <w:i w:val="1"/>
          <w:rtl w:val="0"/>
        </w:rPr>
        <w:t xml:space="preserve">„Az adatfeldolgozó az adatvédelmi incidenst, az arról való tudomásszerzését követően indokolatlan késedelem nélkül bejelenti az adatkezelőnek.”</w:t>
      </w:r>
    </w:p>
    <w:p w:rsidR="00000000" w:rsidDel="00000000" w:rsidP="00000000" w:rsidRDefault="00000000" w:rsidRPr="00000000" w14:paraId="0000003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ageBreakBefore w:val="0"/>
        <w:spacing w:after="0" w:before="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GDPR (87) preambulumbekezdésének megfogalmazásában: „Azt, hogy az értesítésre indokolatlan késedelem nélkül került-e sor, különösen az adatvédelmi incidens jellegére és súlyosságára, valamint annak az érintettre gyakorolt következményeire, illetve hátrányos hatásaira figyelemmel kell megállapítani”. Bár a preambulumbekezdés az adatkezelőre vonatkozik, analóg módon alkalmazható az adatfeldolgozóra is, hiszen a GDPR az ő esetében is a „késedelem nélkül” fordulatot használja, és nincs ésszerű indoka annak, hogy ezt a fordulatot máshogy értelmezzük az adatkezelő és az adatfeldolgozó esetében. A (75) preambulumbekezdés továbbá kimondja, hogy „A természetes személyek jogait és szabadságait érintő – változó valószínűségű és súlyosságú – kockázatok származhatnak a személyes adatok kezeléséből, amelyek fizikai, vagyoni vagy nem vagyoni károkhoz vezethetnek, különösen, ha [...] kiszolgáltatott személyek – különösen, ha gyermekek – személyes adatainak a kezelésére kerül sor; vagy ha az adatkezelés nagy mennyiségű személyes adat alapján zajlik, és nagyszámú érintettre terjed ki.”</w:t>
      </w:r>
    </w:p>
    <w:p w:rsidR="00000000" w:rsidDel="00000000" w:rsidP="00000000" w:rsidRDefault="00000000" w:rsidRPr="00000000" w14:paraId="00000035">
      <w:pPr>
        <w:pageBreakBefore w:val="0"/>
        <w:spacing w:after="0"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ageBreakBefore w:val="0"/>
        <w:spacing w:after="0" w:before="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adatvédelmi incidens a közoktatás központi adatbázisát érintette, amelyet az állami közoktatási intézmények jogszabályok – a nemzeti köznevelésről szóló 2011. évi CXC. törvény (Nkt.) és a nevelési-oktatási intézmények működéséről és a köznevelési intézmények névhasználatáról szóló 20/2012. (VIII. 31.) EMMI rendelet (Rendelet) – alapján kötelesek használni és abba a jogszabályokban meghatározott adatokat felvezetni. Az adatkezelés tehát nagyszámú érintettre terjed ki, akik jelentős számban kiskorúak, és a GDPR fogalomrendszerében </w:t>
      </w:r>
      <w:r w:rsidDel="00000000" w:rsidR="00000000" w:rsidRPr="00000000">
        <w:rPr>
          <w:rFonts w:ascii="Times New Roman" w:cs="Times New Roman" w:eastAsia="Times New Roman" w:hAnsi="Times New Roman"/>
          <w:rtl w:val="0"/>
        </w:rPr>
        <w:t xml:space="preserve">gyermeknek</w:t>
      </w:r>
      <w:r w:rsidDel="00000000" w:rsidR="00000000" w:rsidRPr="00000000">
        <w:rPr>
          <w:rFonts w:ascii="Times New Roman" w:cs="Times New Roman" w:eastAsia="Times New Roman" w:hAnsi="Times New Roman"/>
          <w:rtl w:val="0"/>
        </w:rPr>
        <w:t xml:space="preserve"> számítanak.</w:t>
      </w:r>
    </w:p>
    <w:p w:rsidR="00000000" w:rsidDel="00000000" w:rsidP="00000000" w:rsidRDefault="00000000" w:rsidRPr="00000000" w14:paraId="00000037">
      <w:pPr>
        <w:pageBreakBefore w:val="0"/>
        <w:spacing w:after="0"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ageBreakBefore w:val="0"/>
        <w:spacing w:after="0" w:before="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adatbázisban az Nkt. 41. § (4) bekezdése alapján kezelik egyebek mellett a gyermek, tanuló személyazonosító adatait, a Rendelet 94. §-a pedig az iskola által használt nyomtatványokat sorolja fel, amelyekből olyan különleges adatokra lehet következtetni, mint a nemzetiség (nemzetiségi bizonyítvány) vagy a sajátos nevelési igény (beírási napló).</w:t>
      </w:r>
    </w:p>
    <w:p w:rsidR="00000000" w:rsidDel="00000000" w:rsidP="00000000" w:rsidRDefault="00000000" w:rsidRPr="00000000" w14:paraId="00000039">
      <w:pPr>
        <w:pageBreakBefore w:val="0"/>
        <w:spacing w:after="0"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pageBreakBefore w:val="0"/>
        <w:spacing w:after="0" w:before="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adatvédelmi incidenst különösen súlyossá teszi a kezelt adatok mennyisége és szenzitivitása, valamint az a tény, hogy az érintettek jelentős számban gyermekek,  akiknek a személyes és különleges személyes adatai tömegesen kerültek ki a KRÉTA-rendszerből. Az incidens továbbá az érintettek tömegeire lehet hátrányos hatással. A jelentési kötelezettség elmulasztása ezért különösen súlyosan minősül.</w:t>
      </w:r>
    </w:p>
    <w:p w:rsidR="00000000" w:rsidDel="00000000" w:rsidP="00000000" w:rsidRDefault="00000000" w:rsidRPr="00000000" w14:paraId="0000003B">
      <w:pPr>
        <w:pageBreakBefore w:val="0"/>
        <w:spacing w:after="0"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pageBreakBefore w:val="0"/>
        <w:numPr>
          <w:ilvl w:val="1"/>
          <w:numId w:val="3"/>
        </w:numPr>
        <w:spacing w:after="0" w:before="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highlight w:val="white"/>
          <w:rtl w:val="0"/>
        </w:rPr>
        <w:t xml:space="preserve">jogszerűség, tisztességes eljárás és átláthatóság elvének sérelme</w:t>
      </w:r>
      <w:r w:rsidDel="00000000" w:rsidR="00000000" w:rsidRPr="00000000">
        <w:rPr>
          <w:rtl w:val="0"/>
        </w:rPr>
      </w:r>
    </w:p>
    <w:p w:rsidR="00000000" w:rsidDel="00000000" w:rsidP="00000000" w:rsidRDefault="00000000" w:rsidRPr="00000000" w14:paraId="0000003D">
      <w:pPr>
        <w:pageBreakBefore w:val="0"/>
        <w:spacing w:after="0"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GDPR 5. cikk (1) </w:t>
      </w:r>
      <w:r w:rsidDel="00000000" w:rsidR="00000000" w:rsidRPr="00000000">
        <w:rPr>
          <w:rFonts w:ascii="Times New Roman" w:cs="Times New Roman" w:eastAsia="Times New Roman" w:hAnsi="Times New Roman"/>
          <w:i w:val="1"/>
          <w:rtl w:val="0"/>
        </w:rPr>
        <w:t xml:space="preserve">a)</w:t>
      </w:r>
      <w:r w:rsidDel="00000000" w:rsidR="00000000" w:rsidRPr="00000000">
        <w:rPr>
          <w:rFonts w:ascii="Times New Roman" w:cs="Times New Roman" w:eastAsia="Times New Roman" w:hAnsi="Times New Roman"/>
          <w:rtl w:val="0"/>
        </w:rPr>
        <w:t xml:space="preserve"> pontja szerint </w:t>
      </w:r>
      <w:r w:rsidDel="00000000" w:rsidR="00000000" w:rsidRPr="00000000">
        <w:rPr>
          <w:rFonts w:ascii="Times New Roman" w:cs="Times New Roman" w:eastAsia="Times New Roman" w:hAnsi="Times New Roman"/>
          <w:i w:val="1"/>
          <w:rtl w:val="0"/>
        </w:rPr>
        <w:t xml:space="preserve">„[a] személyes adatok kezelését </w:t>
      </w:r>
      <w:r w:rsidDel="00000000" w:rsidR="00000000" w:rsidRPr="00000000">
        <w:rPr>
          <w:rFonts w:ascii="Times New Roman" w:cs="Times New Roman" w:eastAsia="Times New Roman" w:hAnsi="Times New Roman"/>
          <w:i w:val="1"/>
          <w:highlight w:val="white"/>
          <w:rtl w:val="0"/>
        </w:rPr>
        <w:t xml:space="preserve">jogszerűen és tisztességesen, valamint az érintett számára átlátható módon kell végezni (»jogszerűség, tisztességes eljárás és átláthatóság«)”</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3F">
      <w:pPr>
        <w:pageBreakBefore w:val="0"/>
        <w:spacing w:after="0"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pageBreakBefore w:val="0"/>
        <w:spacing w:after="0" w:before="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 kell emelni, hogy a nyilvánosság számára rendelkezésre álló ismeretek alapján az adatfeldolgozó nem hanyagul, hanem tudatosan és szándékosan mulasztotta el az adatkezelők értesítését az adatvédelmi incidensről. Ez az eljárás nyilvánvalóan  és minden egyes érintett esetében sérti a tisztességes adatkezelés követelményét, hiszen az adatfeldolgozó szándékosan, az érintettek érdekeit teljes egészében figyelmen kívül hagyva szegte meg az adatvédelmi előírásokat.</w:t>
      </w:r>
    </w:p>
    <w:p w:rsidR="00000000" w:rsidDel="00000000" w:rsidP="00000000" w:rsidRDefault="00000000" w:rsidRPr="00000000" w14:paraId="00000041">
      <w:pPr>
        <w:pageBreakBefore w:val="0"/>
        <w:spacing w:after="0" w:before="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2">
      <w:pPr>
        <w:pageBreakBefore w:val="0"/>
        <w:spacing w:after="0" w:before="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Kérem a T. Hatóságot, hogy a fentiek </w:t>
      </w:r>
      <w:r w:rsidDel="00000000" w:rsidR="00000000" w:rsidRPr="00000000">
        <w:rPr>
          <w:rFonts w:ascii="Times New Roman" w:cs="Times New Roman" w:eastAsia="Times New Roman" w:hAnsi="Times New Roman"/>
          <w:b w:val="1"/>
          <w:highlight w:val="white"/>
          <w:rtl w:val="0"/>
        </w:rPr>
        <w:t xml:space="preserve">alapján az adatvédelmi hatósági eljárást lefolytatni és kérelmekben foglaltak szerint dönteni szíveskedjék!</w:t>
      </w:r>
    </w:p>
    <w:p w:rsidR="00000000" w:rsidDel="00000000" w:rsidP="00000000" w:rsidRDefault="00000000" w:rsidRPr="00000000" w14:paraId="00000043">
      <w:pPr>
        <w:pageBreakBefore w:val="0"/>
        <w:spacing w:after="0"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pageBreakBefore w:val="0"/>
        <w:shd w:fill="ffffff" w:val="clear"/>
        <w:spacing w:after="0" w:before="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Tisztelettel:</w:t>
      </w:r>
    </w:p>
    <w:p w:rsidR="00000000" w:rsidDel="00000000" w:rsidP="00000000" w:rsidRDefault="00000000" w:rsidRPr="00000000" w14:paraId="00000045">
      <w:pPr>
        <w:pageBreakBefore w:val="0"/>
        <w:shd w:fill="ffffff" w:val="clear"/>
        <w:spacing w:after="0" w:before="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6">
      <w:pPr>
        <w:pageBreakBefore w:val="0"/>
        <w:shd w:fill="ffffff" w:val="clear"/>
        <w:spacing w:after="0" w:before="0" w:line="360"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Kelt: [hely], [dátum] </w:t>
      </w:r>
    </w:p>
    <w:p w:rsidR="00000000" w:rsidDel="00000000" w:rsidP="00000000" w:rsidRDefault="00000000" w:rsidRPr="00000000" w14:paraId="00000047">
      <w:pPr>
        <w:pageBreakBefore w:val="0"/>
        <w:spacing w:after="0" w:before="0" w:lineRule="auto"/>
        <w:jc w:val="both"/>
        <w:rPr>
          <w:rFonts w:ascii="Times New Roman" w:cs="Times New Roman" w:eastAsia="Times New Roman" w:hAnsi="Times New Roman"/>
          <w:highlight w:val="cyan"/>
        </w:rPr>
      </w:pPr>
      <w:r w:rsidDel="00000000" w:rsidR="00000000" w:rsidRPr="00000000">
        <w:rPr>
          <w:rFonts w:ascii="Times New Roman" w:cs="Times New Roman" w:eastAsia="Times New Roman" w:hAnsi="Times New Roman"/>
          <w:highlight w:val="cyan"/>
          <w:rtl w:val="0"/>
        </w:rPr>
        <w:t xml:space="preserve"> </w:t>
      </w:r>
    </w:p>
    <w:p w:rsidR="00000000" w:rsidDel="00000000" w:rsidP="00000000" w:rsidRDefault="00000000" w:rsidRPr="00000000" w14:paraId="00000048">
      <w:pPr>
        <w:pageBreakBefore w:val="0"/>
        <w:spacing w:after="0" w:before="0" w:lineRule="auto"/>
        <w:rPr>
          <w:rFonts w:ascii="Times New Roman" w:cs="Times New Roman" w:eastAsia="Times New Roman" w:hAnsi="Times New Roman"/>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kérelmező</w:t>
            </w:r>
          </w:p>
        </w:tc>
      </w:tr>
    </w:tbl>
    <w:p w:rsidR="00000000" w:rsidDel="00000000" w:rsidP="00000000" w:rsidRDefault="00000000" w:rsidRPr="00000000" w14:paraId="0000004C">
      <w:pPr>
        <w:pageBreakBefore w:val="0"/>
        <w:spacing w:after="0" w:before="0" w:lineRule="auto"/>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https://telex.hu/tech/2022/11/07/kreta-rendszer-e-naplo-kozoktatas-adathalasz-tamadas-adatszivargas-ekreta-informatikai-zrt</w:t>
      </w:r>
    </w:p>
  </w:footnote>
  <w:footnote w:id="1">
    <w:p w:rsidR="00000000" w:rsidDel="00000000" w:rsidP="00000000" w:rsidRDefault="00000000" w:rsidRPr="00000000" w14:paraId="0000004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https://telex.hu/tech/2022/11/09/kreta-rendszer-ekreta-zrt-adathalasz-tamadas-adatszivargas-elhallgatas-naih-vizsgalat-eljaras</w:t>
      </w:r>
    </w:p>
  </w:footnote>
  <w:footnote w:id="2">
    <w:p w:rsidR="00000000" w:rsidDel="00000000" w:rsidP="00000000" w:rsidRDefault="00000000" w:rsidRPr="00000000" w14:paraId="0000004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https://tudasbazis.ekreta.hu/pages/viewpage.action?pageId=4064926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