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Pesti Központi Kerületi Bíróság</w:t>
      </w:r>
    </w:p>
    <w:p w:rsidR="00000000" w:rsidDel="00000000" w:rsidP="00000000" w:rsidRDefault="00000000" w:rsidRPr="00000000" w14:paraId="00000002">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BRFK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Kerületi Rendőrkapitányság útján</w:t>
      </w:r>
    </w:p>
    <w:p w:rsidR="00000000" w:rsidDel="00000000" w:rsidP="00000000" w:rsidRDefault="00000000" w:rsidRPr="00000000" w14:paraId="00000003">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60" w:line="36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Ügyszám: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05">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Tisztelt Pesti Központi Kerületi Bíróság!</w:t>
      </w:r>
    </w:p>
    <w:p w:rsidR="00000000" w:rsidDel="00000000" w:rsidP="00000000" w:rsidRDefault="00000000" w:rsidRPr="00000000" w14:paraId="00000007">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Alulírott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(lakcím: </w:t>
      </w:r>
      <w:r w:rsidDel="00000000" w:rsidR="00000000" w:rsidRPr="00000000">
        <w:rPr>
          <w:rFonts w:ascii="Times New Roman" w:cs="Times New Roman" w:eastAsia="Times New Roman" w:hAnsi="Times New Roman"/>
          <w:sz w:val="24"/>
          <w:szCs w:val="24"/>
          <w:highlight w:val="yellow"/>
          <w:rtl w:val="0"/>
        </w:rPr>
        <w:t xml:space="preserve">………….. ………………., ……………….</w:t>
      </w:r>
      <w:r w:rsidDel="00000000" w:rsidR="00000000" w:rsidRPr="00000000">
        <w:rPr>
          <w:rFonts w:ascii="Times New Roman" w:cs="Times New Roman" w:eastAsia="Times New Roman" w:hAnsi="Times New Roman"/>
          <w:sz w:val="24"/>
          <w:szCs w:val="24"/>
          <w:rtl w:val="0"/>
        </w:rPr>
        <w:t xml:space="preserve">; szül.: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 anyja neve: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a szabálysértésekről, a szabálysértési eljárásról és a szabálysértési nyilvántartási rendszerről szóló 2012. évi II. törvény (továbbiakban: Szabstv.) 105. § (1) bekezdése alapján </w:t>
      </w:r>
      <w:r w:rsidDel="00000000" w:rsidR="00000000" w:rsidRPr="00000000">
        <w:rPr>
          <w:rFonts w:ascii="Times New Roman" w:cs="Times New Roman" w:eastAsia="Times New Roman" w:hAnsi="Times New Roman"/>
          <w:b w:val="1"/>
          <w:sz w:val="24"/>
          <w:szCs w:val="24"/>
          <w:rtl w:val="0"/>
        </w:rPr>
        <w:t xml:space="preserve">BRFK</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sz w:val="24"/>
          <w:szCs w:val="24"/>
          <w:rtl w:val="0"/>
        </w:rPr>
        <w:t xml:space="preserve"> Kerületi Rendőrkapitányság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Szabs. </w:t>
      </w:r>
      <w:r w:rsidDel="00000000" w:rsidR="00000000" w:rsidRPr="00000000">
        <w:rPr>
          <w:rFonts w:ascii="Times New Roman" w:cs="Times New Roman" w:eastAsia="Times New Roman" w:hAnsi="Times New Roman"/>
          <w:sz w:val="24"/>
          <w:szCs w:val="24"/>
          <w:rtl w:val="0"/>
        </w:rPr>
        <w:t xml:space="preserve">számú, szabálysértési felelősséget megállapító határozata (a továbbiakban: határozat) ellen az alábbi</w:t>
      </w:r>
      <w:r w:rsidDel="00000000" w:rsidR="00000000" w:rsidRPr="00000000">
        <w:rPr>
          <w:rtl w:val="0"/>
        </w:rPr>
      </w:r>
    </w:p>
    <w:p w:rsidR="00000000" w:rsidDel="00000000" w:rsidP="00000000" w:rsidRDefault="00000000" w:rsidRPr="00000000" w14:paraId="00000009">
      <w:pPr>
        <w:spacing w:after="16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 i f o g á s t</w:t>
      </w:r>
    </w:p>
    <w:p w:rsidR="00000000" w:rsidDel="00000000" w:rsidP="00000000" w:rsidRDefault="00000000" w:rsidRPr="00000000" w14:paraId="0000000A">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teszem:</w:t>
      </w:r>
    </w:p>
    <w:p w:rsidR="00000000" w:rsidDel="00000000" w:rsidP="00000000" w:rsidRDefault="00000000" w:rsidRPr="00000000" w14:paraId="0000000B">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Elsődlegesen kérem, hogy a T. Bíróság a határozatot úgy változtassa meg, hogy az eljárást megszünteti, mert az általam elkövetett cselekmény nem szabálysértés [Szabstv. 83. § (1) bekezdésének a) pont].</w:t>
      </w:r>
    </w:p>
    <w:p w:rsidR="00000000" w:rsidDel="00000000" w:rsidP="00000000" w:rsidRDefault="00000000" w:rsidRPr="00000000" w14:paraId="0000000C">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Másodlagosan kérem, hogy a T. Bíróság pénzbüntetés kiszabása helyett intézkedésként figyelmeztetést alkalmazzon [Szabstv. 20. § (1) bekezdés].</w:t>
      </w:r>
    </w:p>
    <w:p w:rsidR="00000000" w:rsidDel="00000000" w:rsidP="00000000" w:rsidRDefault="00000000" w:rsidRPr="00000000" w14:paraId="0000000D">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Harmadlagosan kérem, hogy a kiszabott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forintos pénzbírságot mérsékelje! [Szabstv. 21. § (1) és (2) bekezdései].</w:t>
      </w:r>
    </w:p>
    <w:p w:rsidR="00000000" w:rsidDel="00000000" w:rsidP="00000000" w:rsidRDefault="00000000" w:rsidRPr="00000000" w14:paraId="0000000E">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Tényállás</w:t>
      </w:r>
    </w:p>
    <w:p w:rsidR="00000000" w:rsidDel="00000000" w:rsidP="00000000" w:rsidRDefault="00000000" w:rsidRPr="00000000" w14:paraId="0000001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w:t>
      </w:r>
      <w:r w:rsidDel="00000000" w:rsidR="00000000" w:rsidRPr="00000000">
        <w:rPr>
          <w:rFonts w:ascii="Times New Roman" w:cs="Times New Roman" w:eastAsia="Times New Roman" w:hAnsi="Times New Roman"/>
          <w:sz w:val="24"/>
          <w:szCs w:val="24"/>
          <w:highlight w:val="yellow"/>
          <w:rtl w:val="0"/>
        </w:rPr>
        <w:t xml:space="preserve">............. ……... </w:t>
      </w:r>
      <w:r w:rsidDel="00000000" w:rsidR="00000000" w:rsidRPr="00000000">
        <w:rPr>
          <w:rFonts w:ascii="Times New Roman" w:cs="Times New Roman" w:eastAsia="Times New Roman" w:hAnsi="Times New Roman"/>
          <w:sz w:val="24"/>
          <w:szCs w:val="24"/>
          <w:rtl w:val="0"/>
        </w:rPr>
        <w:t xml:space="preserve">napján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időben a Budapest, I. kerületi Clark Ádám térre mentem gyalogosan, abból  a célból, hogy az ott meghirdetett tiltakozó eseményen véleménynyilvánítási céllal vegyek részt.</w:t>
      </w:r>
    </w:p>
    <w:p w:rsidR="00000000" w:rsidDel="00000000" w:rsidP="00000000" w:rsidRDefault="00000000" w:rsidRPr="00000000" w14:paraId="00000011">
      <w:pPr>
        <w:spacing w:after="1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ITT: a történtek részletes ismertetése a meghallgatáson elmondottakkal összhangban. Ha nem kizárólag véleménynyilvánítási célból ment a helyszínre, hanem pl. munkából, bevásárlásból tért hazafelé, azt is írja le.</w:t>
      </w:r>
    </w:p>
    <w:p w:rsidR="00000000" w:rsidDel="00000000" w:rsidP="00000000" w:rsidRDefault="00000000" w:rsidRPr="00000000" w14:paraId="00000012">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szabálysértési hatóság 2020.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kérésemre </w:t>
      </w:r>
      <w:r w:rsidDel="00000000" w:rsidR="00000000" w:rsidRPr="00000000">
        <w:rPr>
          <w:rFonts w:ascii="Times New Roman" w:cs="Times New Roman" w:eastAsia="Times New Roman" w:hAnsi="Times New Roman"/>
          <w:sz w:val="24"/>
          <w:szCs w:val="24"/>
          <w:highlight w:val="yellow"/>
          <w:rtl w:val="0"/>
        </w:rPr>
        <w:t xml:space="preserve">meghallgatást tartott/írásbeli vallomástételre hívott fel.</w:t>
      </w:r>
      <w:r w:rsidDel="00000000" w:rsidR="00000000" w:rsidRPr="00000000">
        <w:rPr>
          <w:rFonts w:ascii="Times New Roman" w:cs="Times New Roman" w:eastAsia="Times New Roman" w:hAnsi="Times New Roman"/>
          <w:sz w:val="24"/>
          <w:szCs w:val="24"/>
          <w:rtl w:val="0"/>
        </w:rPr>
        <w:t xml:space="preserve"> Az ezt követően született határozatot 2020</w:t>
      </w:r>
      <w:r w:rsidDel="00000000" w:rsidR="00000000" w:rsidRPr="00000000">
        <w:rPr>
          <w:rFonts w:ascii="Times New Roman" w:cs="Times New Roman" w:eastAsia="Times New Roman" w:hAnsi="Times New Roman"/>
          <w:sz w:val="24"/>
          <w:szCs w:val="24"/>
          <w:highlight w:val="yellow"/>
          <w:rtl w:val="0"/>
        </w:rPr>
        <w:t xml:space="preserve">.............. ………… </w:t>
      </w:r>
      <w:r w:rsidDel="00000000" w:rsidR="00000000" w:rsidRPr="00000000">
        <w:rPr>
          <w:rFonts w:ascii="Times New Roman" w:cs="Times New Roman" w:eastAsia="Times New Roman" w:hAnsi="Times New Roman"/>
          <w:sz w:val="24"/>
          <w:szCs w:val="24"/>
          <w:rtl w:val="0"/>
        </w:rPr>
        <w:t xml:space="preserve">napján vettem át. </w:t>
      </w:r>
    </w:p>
    <w:p w:rsidR="00000000" w:rsidDel="00000000" w:rsidP="00000000" w:rsidRDefault="00000000" w:rsidRPr="00000000" w14:paraId="00000013">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 az alábbiak szerint jogszabálysértő.</w:t>
      </w:r>
    </w:p>
    <w:p w:rsidR="00000000" w:rsidDel="00000000" w:rsidP="00000000" w:rsidRDefault="00000000" w:rsidRPr="00000000" w14:paraId="00000014">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Alapjogi ügy</w:t>
      </w:r>
    </w:p>
    <w:p w:rsidR="00000000" w:rsidDel="00000000" w:rsidP="00000000" w:rsidRDefault="00000000" w:rsidRPr="00000000" w14:paraId="00000016">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megállapított tényállás alapján nyilvánvaló, hogy az ügy alapját képző magatartás a véleménynyilvánítási szabadság keretén belül értékelendő. Az Alaptörvény szerint az állam elsőrendű kötelezettsége, hogy az ember sérthetetlen és elidegeníthetetlen alapvető jogait tiszteletben tartsa és védelmezze [I. cikk (1) bekezdés], a szabad véleménynyilvánításhoz való jog pedig mindenkit megillető sérthetetlen és elidegeníthetetlen alapvető jog (IX. cikk). Az Alkotmánybíróság töretlen gyakorlata szerint a demokratikus jogállamokban a véleménynyilvánítás szabadságának kitüntetett szerepe van: nemcsak az egyéni önkifejezés, a személy szabad kibontakozásának és szellemi autonómiájának záloga, hanem egyúttal a demokratikus közvélemény és akaratképzés nélkülözhetetlen forrása is. A véleményszabadság tehát kettős igazolással bír: egyrészt a közéleti viták szabadságát biztosítja (instrumentális igazolás), másrészt pedig az egyéni önkifejezést (konstitutív igazolás). A demokratikus kormányzás és a politikai közélet ugyanis feltételezi a különféle vélemények akadálymentes közlésének, közölhetőségének és ütköztetésének szabadságát. [36/1994. (VI. 24.) AB hat.; 34/2004. (IX. 28.) AB határozat, 7/2014. (III. 7.) AB határozat]. „A véleménynyilvánítás szabadsága a kommunikációs jogok anyajoga. Ez a jogcsalád teszi lehetővé, hogy a polgár a politikai közösség részese lehessen, kifejezhesse a véleményét és részt vegyen a közéleti vitákban, ezért a véleménynyilvánítás szabadsága kitüntetett védelmet kell, hogy élvezzen egy demokratikus társadalomban.” [30/1992. (V. 26.) AB határozat].</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demokratikus társadalomban betöltött szerepe miatt a véleménynyilvánítás szabadságán belül a politikai véleménynyilvánítás határai tágabbak, mint más beszédé. „Fokozott alkotmányos védelmet élveznek az olyan ítéletek, amelyek a közügyekre vonatkozó vélemények ütközésében kapnak hangot, még akkor is, ha esetleg túlzóak és felfokozottak. A demokratikus jogállam állami és önkormányzati intézményeinek szabad bírálata, működésük, tevékenységük kritikája, – még ha az becsületsértő értékítéletek formájában történik is –, a társadalom tagjainak, az állampolgároknak olyan alapvető alanyi joga, amely a demokrácia lényegi eleme.” [36/1994. (VI. 24.) AB határozat]. A politikai véleménynyilvánítás kiemelt védelmét biztosítja az Emberi Jogok Európai Bírósága is. Az EJEB é</w:t>
      </w:r>
      <w:r w:rsidDel="00000000" w:rsidR="00000000" w:rsidRPr="00000000">
        <w:rPr>
          <w:rFonts w:ascii="Times New Roman" w:cs="Times New Roman" w:eastAsia="Times New Roman" w:hAnsi="Times New Roman"/>
          <w:sz w:val="24"/>
          <w:szCs w:val="24"/>
          <w:highlight w:val="white"/>
          <w:rtl w:val="0"/>
        </w:rPr>
        <w:t xml:space="preserve">rtelmezése szerint a véleménynyilvánítás szabadsága a társadalom demokratikus fejlődésének egyik elengedhetetlen előfeltétele [</w:t>
      </w:r>
      <w:r w:rsidDel="00000000" w:rsidR="00000000" w:rsidRPr="00000000">
        <w:rPr>
          <w:rFonts w:ascii="Times New Roman" w:cs="Times New Roman" w:eastAsia="Times New Roman" w:hAnsi="Times New Roman"/>
          <w:i w:val="1"/>
          <w:sz w:val="24"/>
          <w:szCs w:val="24"/>
          <w:highlight w:val="white"/>
          <w:rtl w:val="0"/>
        </w:rPr>
        <w:t xml:space="preserve">Handyside kontra Egyesült Királyság, </w:t>
      </w:r>
      <w:r w:rsidDel="00000000" w:rsidR="00000000" w:rsidRPr="00000000">
        <w:rPr>
          <w:rFonts w:ascii="Times New Roman" w:cs="Times New Roman" w:eastAsia="Times New Roman" w:hAnsi="Times New Roman"/>
          <w:sz w:val="24"/>
          <w:szCs w:val="24"/>
          <w:highlight w:val="white"/>
          <w:rtl w:val="0"/>
        </w:rPr>
        <w:t xml:space="preserve">kérelem számra:</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5493/72].</w:t>
      </w:r>
      <w:r w:rsidDel="00000000" w:rsidR="00000000" w:rsidRPr="00000000">
        <w:rPr>
          <w:rtl w:val="0"/>
        </w:rPr>
      </w:r>
    </w:p>
    <w:p w:rsidR="00000000" w:rsidDel="00000000" w:rsidP="00000000" w:rsidRDefault="00000000" w:rsidRPr="00000000" w14:paraId="00000018">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Álláspontom szerint a véleménynyilvánítás szabadsága szempontjából értékelni kell a tényállást, és az ebből fakadó következtetéseknek a szabálysértési jog alkalmazásában is tükröződnie kell. </w:t>
      </w:r>
    </w:p>
    <w:p w:rsidR="00000000" w:rsidDel="00000000" w:rsidP="00000000" w:rsidRDefault="00000000" w:rsidRPr="00000000" w14:paraId="0000001A">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w:t>
      </w:r>
      <w:r w:rsidDel="00000000" w:rsidR="00000000" w:rsidRPr="00000000">
        <w:rPr>
          <w:rFonts w:ascii="Times New Roman" w:cs="Times New Roman" w:eastAsia="Times New Roman" w:hAnsi="Times New Roman"/>
          <w:sz w:val="24"/>
          <w:szCs w:val="24"/>
          <w:rtl w:val="0"/>
        </w:rPr>
        <w:t xml:space="preserve">Alaptörvény 28. cikke</w:t>
      </w:r>
      <w:r w:rsidDel="00000000" w:rsidR="00000000" w:rsidRPr="00000000">
        <w:rPr>
          <w:rFonts w:ascii="Times New Roman" w:cs="Times New Roman" w:eastAsia="Times New Roman" w:hAnsi="Times New Roman"/>
          <w:sz w:val="24"/>
          <w:szCs w:val="24"/>
          <w:rtl w:val="0"/>
        </w:rPr>
        <w:t xml:space="preserve"> előírja, hogy a bíróságok a jogalkalmazás során a jogszabályok szövegét az Alaptörvénnyel összhangban értelmezzék. Ez jelen esetben azt a követelményt támasztja a jogalkalmazóval szemben, hogy a Szabstv. rendelkezéseit az Alaptörvény IX. cikkében deklarált véleménynyilvánítás szabadságára vonatkozó alkotmányos követelményekkel összhangban értelmezze. </w:t>
      </w:r>
      <w:r w:rsidDel="00000000" w:rsidR="00000000" w:rsidRPr="00000000">
        <w:rPr>
          <w:rFonts w:ascii="Times New Roman" w:cs="Times New Roman" w:eastAsia="Times New Roman" w:hAnsi="Times New Roman"/>
          <w:sz w:val="24"/>
          <w:szCs w:val="24"/>
          <w:highlight w:val="white"/>
          <w:rtl w:val="0"/>
        </w:rPr>
        <w:t xml:space="preserve">Az alapjogok korlátozásának részletes és szigorú tesztjét dolgozta ki az Alkotmánybíróság, amely az Alaptörvénynek már szövegszerűen is részét képezi az I. cikk (3) bekezdésben. „Az állam akkor nyúlhat az alapjog korlátozásának eszközéhez, ha másik alapvető jog és szabadság védelme vagy érvényesülése, illetve egyéb alkotmányos érték védelme más módon nem érhető el. </w:t>
      </w:r>
      <w:r w:rsidDel="00000000" w:rsidR="00000000" w:rsidRPr="00000000">
        <w:rPr>
          <w:rFonts w:ascii="Times New Roman" w:cs="Times New Roman" w:eastAsia="Times New Roman" w:hAnsi="Times New Roman"/>
          <w:sz w:val="24"/>
          <w:szCs w:val="24"/>
          <w:highlight w:val="white"/>
          <w:u w:val="single"/>
          <w:rtl w:val="0"/>
        </w:rPr>
        <w:t xml:space="preserve">Az alapjog korlátozásának </w:t>
      </w:r>
      <w:r w:rsidDel="00000000" w:rsidR="00000000" w:rsidRPr="00000000">
        <w:rPr>
          <w:rFonts w:ascii="Times New Roman" w:cs="Times New Roman" w:eastAsia="Times New Roman" w:hAnsi="Times New Roman"/>
          <w:i w:val="1"/>
          <w:sz w:val="24"/>
          <w:szCs w:val="24"/>
          <w:highlight w:val="white"/>
          <w:u w:val="single"/>
          <w:rtl w:val="0"/>
        </w:rPr>
        <w:t xml:space="preserve">alkotmányosságához tehát önmagában nem elegendő, hogy az</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u w:val="single"/>
          <w:rtl w:val="0"/>
        </w:rPr>
        <w:t xml:space="preserve">másik alapjog vagy szabadság védelme vagy egyéb alkotmányos</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u w:val="single"/>
          <w:rtl w:val="0"/>
        </w:rPr>
        <w:t xml:space="preserve">cél érdekében történik, hanem szükséges, hogy megfeleljen az</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u w:val="single"/>
          <w:rtl w:val="0"/>
        </w:rPr>
        <w:t xml:space="preserve">arányosság követelményeinek</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az elérni kívánt cél fontossága és az ennek érdekében okozott alapjogsérelem súlya megfelelő arányban legyen egymással.” [30/1992 (V. 26.) AB határozat]. Az EJEB a korlátozás meghatározása során azt vizsgálja, hogy a véleményszabadság korlátozása szükséges-e egy demokratikus berendezkedésű társadalomban, vagyis van-e olyan nyomós társadalmi érdek, amely a jogkorlátozást kellően indokolja. [</w:t>
      </w:r>
      <w:r w:rsidDel="00000000" w:rsidR="00000000" w:rsidRPr="00000000">
        <w:rPr>
          <w:rFonts w:ascii="Times New Roman" w:cs="Times New Roman" w:eastAsia="Times New Roman" w:hAnsi="Times New Roman"/>
          <w:i w:val="1"/>
          <w:sz w:val="24"/>
          <w:szCs w:val="24"/>
          <w:highlight w:val="white"/>
          <w:rtl w:val="0"/>
        </w:rPr>
        <w:t xml:space="preserve">Sunday Times kontra Egyesült Királyság</w:t>
      </w:r>
      <w:r w:rsidDel="00000000" w:rsidR="00000000" w:rsidRPr="00000000">
        <w:rPr>
          <w:rFonts w:ascii="Times New Roman" w:cs="Times New Roman" w:eastAsia="Times New Roman" w:hAnsi="Times New Roman"/>
          <w:sz w:val="24"/>
          <w:szCs w:val="24"/>
          <w:highlight w:val="white"/>
          <w:rtl w:val="0"/>
        </w:rPr>
        <w:t xml:space="preserve">, kérelem száma:</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6538/74]</w:t>
      </w:r>
      <w:r w:rsidDel="00000000" w:rsidR="00000000" w:rsidRPr="00000000">
        <w:rPr>
          <w:rtl w:val="0"/>
        </w:rPr>
      </w:r>
    </w:p>
    <w:p w:rsidR="00000000" w:rsidDel="00000000" w:rsidP="00000000" w:rsidRDefault="00000000" w:rsidRPr="00000000" w14:paraId="0000001B">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Jogi értékelés</w:t>
      </w:r>
    </w:p>
    <w:p w:rsidR="00000000" w:rsidDel="00000000" w:rsidP="00000000" w:rsidRDefault="00000000" w:rsidRPr="00000000" w14:paraId="0000001D">
      <w:pPr>
        <w:numPr>
          <w:ilvl w:val="0"/>
          <w:numId w:val="1"/>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társadalomra veszélyesség hiánya</w:t>
      </w:r>
    </w:p>
    <w:p w:rsidR="00000000" w:rsidDel="00000000" w:rsidP="00000000" w:rsidRDefault="00000000" w:rsidRPr="00000000" w14:paraId="0000001E">
      <w:pPr>
        <w:spacing w:line="276"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Szabstv. 1. §-a definiálja a szabálysértés fogalmát, amelynek egyik eleme a társadalomra veszélyesség. </w:t>
      </w:r>
      <w:r w:rsidDel="00000000" w:rsidR="00000000" w:rsidRPr="00000000">
        <w:rPr>
          <w:rFonts w:ascii="Times New Roman" w:cs="Times New Roman" w:eastAsia="Times New Roman" w:hAnsi="Times New Roman"/>
          <w:sz w:val="24"/>
          <w:szCs w:val="24"/>
          <w:u w:val="single"/>
          <w:rtl w:val="0"/>
        </w:rPr>
        <w:t xml:space="preserve">Társadalomra veszélyesség nélkül tehát nincs szabálysértés</w:t>
      </w:r>
      <w:r w:rsidDel="00000000" w:rsidR="00000000" w:rsidRPr="00000000">
        <w:rPr>
          <w:rFonts w:ascii="Times New Roman" w:cs="Times New Roman" w:eastAsia="Times New Roman" w:hAnsi="Times New Roman"/>
          <w:sz w:val="24"/>
          <w:szCs w:val="24"/>
          <w:rtl w:val="0"/>
        </w:rPr>
        <w:t xml:space="preserve">. A szabálysértés a törvényi definíciója alapján a szabálysértés tényállásszerű és társadalomra veszélyes cselekmény. A törvényben rögzített társadalomra veszélyesség két összetevőből áll: a cselekmény a bűncselekményként történő büntetni rendeléshez szükségesnél kisebb fokban sérti vagy veszélyezteti Magyarország állami, társadalmi vagy gazdasági rendjét, a természetes és jogi személyek, valamint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jogi személyiség nélküli szervezetek személyét vagy jogait, ÉS amelyre a Szabstv. szabálysértési elzárás büntetés kiszabását is lehetővé teszi, vagy járművezetéstől eltiltás alkalmazását kötelezően elrendeli.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két feltétel konjunktív feltételként szerepel a törvényben, ami azt jelenti, hogy együttesen kell fennállniuk, hogy egy konkrét magatartásra társadalomra veszélyesként lehessen tekinteni; bármelyik hiánya kizárja ennek lehetőségét. </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alaki jogellenesség szerint az eljárás alá vont személy szabálysértési normában rögzített cselekvési vagy magatartási formától való tartózkodási kötelezettségét megszegi. Ennek vizsgálata az objektív tényállási elemek értékelésével végezhető el. </w:t>
      </w:r>
      <w:r w:rsidDel="00000000" w:rsidR="00000000" w:rsidRPr="00000000">
        <w:rPr>
          <w:rFonts w:ascii="Times New Roman" w:cs="Times New Roman" w:eastAsia="Times New Roman" w:hAnsi="Times New Roman"/>
          <w:sz w:val="24"/>
          <w:szCs w:val="24"/>
          <w:u w:val="single"/>
          <w:rtl w:val="0"/>
        </w:rPr>
        <w:t xml:space="preserve">Az alaki jogellenesség azonban nem ad választ arra, hogy miért nyilvánít a jogalkotó egy cselekményt jogellenessé, illetve, hogy ennek az indoknak a konkrét esetben történő igazolhatósága fennáll-e.</w:t>
      </w:r>
      <w:r w:rsidDel="00000000" w:rsidR="00000000" w:rsidRPr="00000000">
        <w:rPr>
          <w:rFonts w:ascii="Times New Roman" w:cs="Times New Roman" w:eastAsia="Times New Roman" w:hAnsi="Times New Roman"/>
          <w:sz w:val="24"/>
          <w:szCs w:val="24"/>
          <w:rtl w:val="0"/>
        </w:rPr>
        <w:t xml:space="preserve"> Ezt a materiális jogellenesség, azaz a társadalomra veszélyesség - vizsgálata után lehet megnyugtatóan rendezni, ez biztosítja ugyanis, hogy az alaki jogellenesség tartalmi elemeinek indoka és a tételes jog alkalmazása igazolva van.</w:t>
      </w:r>
    </w:p>
    <w:p w:rsidR="00000000" w:rsidDel="00000000" w:rsidP="00000000" w:rsidRDefault="00000000" w:rsidRPr="00000000" w14:paraId="00000022">
      <w:pPr>
        <w:spacing w:after="160"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br w:type="textWrapping"/>
        <w:t xml:space="preserve">A Szabstv. dogmatikai rendszerében a materiális jogellenesség a társadalomra veszélyesség vizsgálatát jelenti. A társadalomra veszélyesség nem más, mint a kodifikált materiális jogellenesség, amelynek hiányában nem állapítható meg szabálysértés. A szabálysértés nem önmagában, hanem a </w:t>
      </w:r>
      <w:r w:rsidDel="00000000" w:rsidR="00000000" w:rsidRPr="00000000">
        <w:rPr>
          <w:rFonts w:ascii="Times New Roman" w:cs="Times New Roman" w:eastAsia="Times New Roman" w:hAnsi="Times New Roman"/>
          <w:sz w:val="24"/>
          <w:szCs w:val="24"/>
          <w:u w:val="single"/>
          <w:rtl w:val="0"/>
        </w:rPr>
        <w:t xml:space="preserve">védett jogi tárgyra való kihatásában veszélyes a társadalomra.</w:t>
      </w:r>
      <w:r w:rsidDel="00000000" w:rsidR="00000000" w:rsidRPr="00000000">
        <w:rPr>
          <w:rFonts w:ascii="Times New Roman" w:cs="Times New Roman" w:eastAsia="Times New Roman" w:hAnsi="Times New Roman"/>
          <w:sz w:val="24"/>
          <w:szCs w:val="24"/>
          <w:rtl w:val="0"/>
        </w:rPr>
        <w:t xml:space="preserve"> A társadalomra veszélyesség jellegét és fokát alapvetően az egyik oldalról az alapjog-gyakorlás jelentősége és a demokratikus társadalmakban betöltött szerepe, a másik oldalról pedig a támadott jogtárgy jelentősége és az azt ért sérelem foka határozza meg.</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23">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társadalomra veszélyesség körében érdemes felidézni az Alkotmánybíróság közelmúlt-béli gyakorlatát a szabálysértési jog rendelkezései és a véleménynyilvánítás szabadsága konfliktusa kapcsán.</w:t>
      </w:r>
    </w:p>
    <w:p w:rsidR="00000000" w:rsidDel="00000000" w:rsidP="00000000" w:rsidRDefault="00000000" w:rsidRPr="00000000" w14:paraId="00000024">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 köztisztasági szabálysértéssel kapcsolatos ügyben a</w:t>
      </w:r>
      <w:r w:rsidDel="00000000" w:rsidR="00000000" w:rsidRPr="00000000">
        <w:rPr>
          <w:rFonts w:ascii="Times New Roman" w:cs="Times New Roman" w:eastAsia="Times New Roman" w:hAnsi="Times New Roman"/>
          <w:sz w:val="24"/>
          <w:szCs w:val="24"/>
          <w:u w:val="single"/>
          <w:rtl w:val="0"/>
        </w:rPr>
        <w:t xml:space="preserve"> 14/2019. (IV. 17.) AB határozatban </w:t>
      </w:r>
      <w:r w:rsidDel="00000000" w:rsidR="00000000" w:rsidRPr="00000000">
        <w:rPr>
          <w:rFonts w:ascii="Times New Roman" w:cs="Times New Roman" w:eastAsia="Times New Roman" w:hAnsi="Times New Roman"/>
          <w:sz w:val="24"/>
          <w:szCs w:val="24"/>
          <w:rtl w:val="0"/>
        </w:rPr>
        <w:t xml:space="preserve">az Alkotmánybíróság kategorikusan foglalt állást a társadalomra veszélyesség hiánya mellett.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Az Alkotmánybíróság mindenekelőtt fontosnak tartja kiemelni azt az 1/2019. (II. 13.) AB határozatában már rögzített szempontot, miszerint egy cselekmény büntethetőségének a megítélése során arra is figyelemmel kell lenni, hogy bár a Büntető Törvénykönyvről szóló 2012. évi C. törvény (a továbbiakban: Btk.) és a Szabs. tv. is (többek között) az alkotmányos (az Alaptörvény szerinti társadalmi, gazdasági, állami) rend sérelméhez, illetve annak veszélyeztetéséhez köti az egyes cselekmények társadalomra veszélyességének megítélését, amennyiben egy cselekmény az Alaptörvény által védett alapjog-gyakorlásnak minősül (így pl. a véleménynyilvánítás szabadságának körébe esik), eleve kizárt annak társadalomra veszélyessége {lásd: 1/2019. (II. 13.) AB határozat, Indokolás [44]}.”</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Ennek megítéléshez az eljáró bírónak vizsgálnia kell, hogy az adott cselekmény a szólásszabadság által védett tevékenységek körébe tartozik-e. Ehhez is nyújt azonban támpontot az Alkotmánybíróság.</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2.2. A fentiekre tekintettel az Alkotmánybíróság hangsúlyozza, hogy annak megítélése, hogy az adott kommunikatív cselekmény valóban a szólásszabadság hatálya alá tartozik-e, több tényező összetett értékelése alapján dönthető csak el. Az Alkotmánybíróság az 1/2019. (II. 13.) AB határozatában kiemelte, hogy egy tett véleménynyilvánításként kezelésének szükséges, de semmiképp sem elégséges feltétele, hogy a cselekményt elkövető a véleménye kifejezésének céljából cselekedjen – annak ellenére, hogy egy tett véleményszabadság oldaláról történő megítélése szempontjából a jogalkalmazónak elsődlegesen azt kell vizsgálnia, hogy a cselekvőnek mi volt a célja, illetve motívuma a cselekvése során. A véleményszabadság alkalmazásához ugyanis az is szükséges, hogy a közlés választott formája objektív módon is alkalmasnak tekinthető eszköze, közvetítője legyen gondolatok közlésének {1/2019. (II. 13.) AB határozat, Indokolás [36]}.”</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Annak megítélése tehát, hogy adott esetben a véleménynyilvánítás szabadságának hatálya alatt vizsgálandó, erős alkotmányos védelemre igényt tartó cselekményről, avagy vandalizmusról van-e szó, az egyedi tényállás elemei alapján a bíróságok feladata. E tekintetben azonban jelentősége van annak, hogy a konkrét cselekmény mind a „véleménynyilvánító” személy szubjektív szándéka, mind az objektív értékelés szerint – legalább hipotetikusan – a nyilvánosság előtt értelmezhető közlés-e.”</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Az alábbiakban kifejtettek szerint tevékenységem egyértelmű közéleti kommunikációs célt és üzenetet hordozott, ami a külvilág számára is felismerhető volt, így a véleménynyilvánítás körébe tartozott, amely a véleménynyilvánítás szabadságának alkotmányos védelme alatt áll, következésképpen nem lehet veszélyes a társadalomra, így szabálysértésként nem is büntetendő cselekmény.</w:t>
      </w:r>
      <w:r w:rsidDel="00000000" w:rsidR="00000000" w:rsidRPr="00000000">
        <w:rPr>
          <w:rtl w:val="0"/>
        </w:rPr>
      </w:r>
    </w:p>
    <w:p w:rsidR="00000000" w:rsidDel="00000000" w:rsidP="00000000" w:rsidRDefault="00000000" w:rsidRPr="00000000" w14:paraId="0000002C">
      <w:pPr>
        <w:spacing w:after="1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2"/>
        </w:numPr>
        <w:spacing w:after="1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veszélyhelyzetre meghatározott magatartási szabályok megszegése </w:t>
      </w:r>
    </w:p>
    <w:p w:rsidR="00000000" w:rsidDel="00000000" w:rsidP="00000000" w:rsidRDefault="00000000" w:rsidRPr="00000000" w14:paraId="0000002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elkövetéskor hatályban lévő, idő közben hatályon kívül helyezett 46/2020. (III. 16.) kormányrendelet 4. § (1) bekezdése szerint rendezvény helyszínén a résztvevők számától és a rendezvény helyszínétől függetlenül tilos tartózkodni. Gyűlés helyszínén tartózkodás tilos. A gyülekezési jog korlátozása a veszélyhelyzetre tekintettel alapjogi mércével nézve is elfogadhatónak minősült: egy szokásos tüntetés még a megfelelő óvintézkedések betartása mellett is hozzájárulhatott volna a járvány terjedéséhez, ami a résztvevők és mások egészségét, életét is veszélyeztethette volna.</w:t>
      </w:r>
    </w:p>
    <w:p w:rsidR="00000000" w:rsidDel="00000000" w:rsidP="00000000" w:rsidRDefault="00000000" w:rsidRPr="00000000" w14:paraId="0000002F">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gyülekezési szabadság fent ismertetett korlátozása azonban nem jelenti azt, hogy a köztéri véleménynyilvánítás minden formája tilos lett volna a kérdéses időszakban. Az Alaptörvénnyel ugyanis csakis egy olyan mértékű korlátozás egyeztethető össze, amelyik az elérni kívánt cél - jelen esetben a járvány elleni védekezés  - eléréséhez feltétlenül szükséges és azzal arányban áll. </w:t>
      </w:r>
      <w:r w:rsidDel="00000000" w:rsidR="00000000" w:rsidRPr="00000000">
        <w:rPr>
          <w:rFonts w:ascii="Times New Roman" w:cs="Times New Roman" w:eastAsia="Times New Roman" w:hAnsi="Times New Roman"/>
          <w:i w:val="1"/>
          <w:sz w:val="24"/>
          <w:szCs w:val="24"/>
          <w:highlight w:val="white"/>
          <w:rtl w:val="0"/>
        </w:rPr>
        <w:t xml:space="preserve">Alapvető jog más alapvető jog érvényesülése vagy valamely alkotmányos érték védelme érdekében, a feltétlenül szükséges mértékben, az elérni kívánt céllal arányosan, az alapvető jog lényeges tartalmának tiszteletben tartásával korlátozható</w:t>
      </w:r>
      <w:r w:rsidDel="00000000" w:rsidR="00000000" w:rsidRPr="00000000">
        <w:rPr>
          <w:rFonts w:ascii="Times New Roman" w:cs="Times New Roman" w:eastAsia="Times New Roman" w:hAnsi="Times New Roman"/>
          <w:sz w:val="24"/>
          <w:szCs w:val="24"/>
          <w:highlight w:val="white"/>
          <w:rtl w:val="0"/>
        </w:rPr>
        <w:t xml:space="preserve"> [Alaptörvény I. cikk (3) bekezdés].</w:t>
      </w:r>
      <w:r w:rsidDel="00000000" w:rsidR="00000000" w:rsidRPr="00000000">
        <w:rPr>
          <w:rtl w:val="0"/>
        </w:rPr>
      </w:r>
    </w:p>
    <w:p w:rsidR="00000000" w:rsidDel="00000000" w:rsidP="00000000" w:rsidRDefault="00000000" w:rsidRPr="00000000" w14:paraId="00000030">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Míg nem különleges jogrendben is korlátozhatóak alapjogaink, a veszélyhelyzetben a jogkorlátozásra az Alaptörvény is szélesebb mozgásteret enged. A veszélyhelyzet idején az alapvető jogok korlátozását kivételesen az Alaptörvény I. cikk (3) bekezdése szerinti mértéken túl is korlátozhatóvá teszi [Alaptörvény 54. cikk (1) bekezdés]. Ez azonban nem jelenti azt, hogy az alapjogok korlátozásának a veszélyhelyzetben nem lenne mércéje, nem jelentheti azt, hogy az alapjogok bármilyen korlátozása alkotmányos lenne. Bár az Alaptörvény a veszélyhelyzetben az alapjogok korlátozásának szigorú szükségességi és arányossági követelményeit fellazítja, nem érinti az Alaptörvénynek a jogállamiságra vonatkozó követelményét [Alaptörvény B cikk (1) bekezdés]. A jogállamiság pedig kizárja az önkényes hatalomgyakorlást. Ezért még a járvány okozta veszélyhelyzetben sem lehet olyan önkényes jogkorlátozásokat előírni, amelyek nem alkalmasak a járványveszély csökkentésére vagy következményeinek elhárítására. A korlátozások a veszély elhárításához képest nem lehetnek szélsőségesen aránytalanok. Amennyiben ezeknek a feltételeknek a különleges jogrendi intézkedések nem felelnek meg, úgy nem is alkotmányosak. A közterületi véleménynyilvánítás szabadságának gyakorlása tehát csak akkor korlátozható a veszélyhelyzetben is, ha az a különleges jogrend alapjául szolgáló helyzet, tehát a veszély elhárítását szolgálja, és a korlátozás észszerű kapcsolatban áll a járványveszély elhárításával. </w:t>
      </w:r>
    </w:p>
    <w:p w:rsidR="00000000" w:rsidDel="00000000" w:rsidP="00000000" w:rsidRDefault="00000000" w:rsidRPr="00000000" w14:paraId="00000031">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járvánnyal szembeni védekezés hatékonysága tehát vitathatatlanul megkövetelt bizonyos korlátozásokat, de csak annyit, amennyi valóban szükséges volt a védekezéshez. A fertőzésveszély csökkentése valóban indokolhatja a személyes jelenléttel járó, hagyományos gyűlések korlátozását, </w:t>
      </w:r>
      <w:r w:rsidDel="00000000" w:rsidR="00000000" w:rsidRPr="00000000">
        <w:rPr>
          <w:rFonts w:ascii="Times New Roman" w:cs="Times New Roman" w:eastAsia="Times New Roman" w:hAnsi="Times New Roman"/>
          <w:sz w:val="24"/>
          <w:szCs w:val="24"/>
          <w:highlight w:val="white"/>
          <w:rtl w:val="0"/>
        </w:rPr>
        <w:t xml:space="preserve">a tilalom arányossága azonban még ezekben az esetekben is attól függ, hogy egy konkrét tüntetésen való részvétel növeli-e egyáltalán a fertőzésveszélyt (amit befolyásolhat többek között a jelenlévők létszáma, védőfelszerelése, illetve a megfelelő távolság tartása).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Szeretném felhívni a T. Bíróság figyelmét arra, hogy az esemény helyszínén való tartózkodásom során a kijárási korlátozás biztonsági rendelkezéseinek megfelelően jártam el, a többi résztvevőtől mindvégig megtartottam a másfél méteres távolságot, valamint előzetesen meggyőződtem arról, hogy a helyszínen tartózkodó emberek csekély létszáma miatt jelenlétemmel nem járulok hozzá a járvány terjedéséhez. A veszélyhelyzetre meghatározott magatartási szabályok kapcsán is érvényesek a társadalomra veszélyesség kapcsán kifejtettek: az olyan magatartások, amelyek nem alkalmasak a járvány terjesztésére, a társadalomra sem veszélyesek, következésképpen szabálysértés elkövetésére sem alkalmasak.</w:t>
      </w:r>
    </w:p>
    <w:p w:rsidR="00000000" w:rsidDel="00000000" w:rsidP="00000000" w:rsidRDefault="00000000" w:rsidRPr="00000000" w14:paraId="00000033">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körben megjegyezni kívánom, hogy mivel a kérdéses időszakban érvényben lévő veszélyhelyzet miatt eleve korlátozott volt a politikai véleménynyilvánítás szabadsága. Véleményem szerint a hatóságoknak éppen, hogy szélesebb körben kellett volna biztosítania azokat a társadalomra veszélytelen eszközöket, amelyekkel élhetnek azok a polgárok, akik a járvány helyzetben is szerették volna felelősen, a járvány kockázatait is figyelembe véve véleményt nyilvánítani.</w:t>
      </w:r>
    </w:p>
    <w:p w:rsidR="00000000" w:rsidDel="00000000" w:rsidP="00000000" w:rsidRDefault="00000000" w:rsidRPr="00000000" w14:paraId="00000034">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Megjegyezni kívánom továbbá, hogy alapjogi szempontból aggályos az a jogalkotói megoldás, ami egyfelől lehetővé teszi a vallásszabadság nyilvános, szintén több ember együttes jelenlétével járó gyakorlását, a hitéleti tevékenységek engedélyezése által, azonban teljeskörű tilalmat rendel el egy másik alapvető jog, nevezetesen a gyülekezési jog gyakorlása tekintetében. A kérdéses időszakban azonban pontosan ez a helyzet állt elő a jogalkotói szabályozás eredményeként. A gyülekezési jog a kommunikációs alapjogok kategóriájába tartozó, kiemelten védett, a demokratikus nyilvánosság kialakításában alapvető jelentőségű alapjog, mivel a politikai vagy más vélemény csoportos kinyilvánítására biztosít úgy lehetőséget, hogy az a külvilág számára is látványosan érzékelhető formában történik. </w:t>
      </w:r>
    </w:p>
    <w:p w:rsidR="00000000" w:rsidDel="00000000" w:rsidP="00000000" w:rsidRDefault="00000000" w:rsidRPr="00000000" w14:paraId="00000035">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Mindezek alapján a szabálysértési határozatban foglaltak fenntartása és a szabálysértési felelősségem megállapítása alaptörvény-ellenesen korlátozná a szabad véleménynyilvánításhoz és gyülekezéshez való alkotmányos jogom.  </w:t>
      </w:r>
    </w:p>
    <w:p w:rsidR="00000000" w:rsidDel="00000000" w:rsidP="00000000" w:rsidRDefault="00000000" w:rsidRPr="00000000" w14:paraId="00000036">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Továbbá szeretném felhívni a T. Bíróság figyelmét arra, hogy a gyűlés helyszínén való tartózkodás szankcionálásának nincsen jogszabályi alapja. Habár a fent ismertetett 46/2020. (III. 16.) kormányrendelet 4. § (1) bekezdése valóban előírta a gyűlésen való tartózkodás általános tilalmát, azonban a jogalkotó ezen szabály megszegéséhez nem rendelt szankciót. A rendelet 7. § (1) bekezdése ugyanis a következőképpen rendelkezik: </w:t>
      </w:r>
    </w:p>
    <w:p w:rsidR="00000000" w:rsidDel="00000000" w:rsidP="00000000" w:rsidRDefault="00000000" w:rsidRPr="00000000" w14:paraId="00000037">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szabálysértésekről, a szabálysértési eljárásról és a szabálysértési nyilvántartási rendszerről szóló 2012. évi II. törvény (a továbbiakban: Szabstv.) 1. § (1) bekezdésétől eltérően szabálysértést követ el, aki</w:t>
      </w:r>
    </w:p>
    <w:p w:rsidR="00000000" w:rsidDel="00000000" w:rsidP="00000000" w:rsidRDefault="00000000" w:rsidRPr="00000000" w14:paraId="00000038">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vendéglátó üzletben,</w:t>
      </w:r>
    </w:p>
    <w:p w:rsidR="00000000" w:rsidDel="00000000" w:rsidP="00000000" w:rsidRDefault="00000000" w:rsidRPr="00000000" w14:paraId="00000039">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üzletben,</w:t>
      </w:r>
    </w:p>
    <w:p w:rsidR="00000000" w:rsidDel="00000000" w:rsidP="00000000" w:rsidRDefault="00000000" w:rsidRPr="00000000" w14:paraId="0000003A">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rendszeres zenés, táncos rendezvényen,</w:t>
      </w:r>
    </w:p>
    <w:p w:rsidR="00000000" w:rsidDel="00000000" w:rsidP="00000000" w:rsidRDefault="00000000" w:rsidRPr="00000000" w14:paraId="0000003B">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a rendezvény helyszínén, valamint</w:t>
      </w:r>
    </w:p>
    <w:p w:rsidR="00000000" w:rsidDel="00000000" w:rsidP="00000000" w:rsidRDefault="00000000" w:rsidRPr="00000000" w14:paraId="0000003C">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az előadó-művészet valamennyi ágának fellépése céljából megtartott eseményen, függetlenül annak nyilvánosságától (színház, tánc-, zeneművészet), a moziban, a muzeális intézményekről, a nyilvános könyvtári ellátásról és a közművelődésről szóló törvényben meghatározott közgyűjteményben, közművelődési intézményben és közösségi színtérben</w:t>
      </w:r>
    </w:p>
    <w:p w:rsidR="00000000" w:rsidDel="00000000" w:rsidP="00000000" w:rsidRDefault="00000000" w:rsidRPr="00000000" w14:paraId="0000003D">
      <w:pPr>
        <w:spacing w:after="1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meg nem engedett időpontban vagy meg nem engedett módon tartózkodik.</w:t>
      </w:r>
    </w:p>
    <w:p w:rsidR="00000000" w:rsidDel="00000000" w:rsidP="00000000" w:rsidRDefault="00000000" w:rsidRPr="00000000" w14:paraId="0000003E">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fenti felsorolásban nem szerepel a gyűlés helyszínén való részvétel, a jogalkotó csupán a rendezvényen való tartózkodási tilalom megszegésére állapított meg szabálysértést. A gyűlés és a rendezvény pedig nem azonos fogalmak, nem használhatók egymás szinonimájaként, valamint a gyűlés fogalmilag nem tartozik bele a rendezvények körébe. Erről tanúskodik a rendelet 4. § (1) bekezdésének megfogalmazása is, ahol a rendezvény mellett a gyűlésen való tartózkodás tilalmáról külön rendelkezik a jogalkotó, illetve a gyülekezési jogról szóló LV. törvény, amely a hatálya alá tartozó rendezvényekre következetesen a gyűlés szót használja. Álláspontom szerint, tekintettel arra, hogy a fenti cselekmény elkövetésére nem állapított meg szabálysértést a jogalkotó, ezért a szabálysértési eljárást a T. Bíróságnak meg kell szüntetni, hiszen a cselekmény nem szabálysértés [Szabstv. 83. § (1) bekezdés a) pont]. </w:t>
      </w:r>
    </w:p>
    <w:p w:rsidR="00000000" w:rsidDel="00000000" w:rsidP="00000000" w:rsidRDefault="00000000" w:rsidRPr="00000000" w14:paraId="0000003F">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Figyelmeztetés mint intézkedés alkalmazása</w:t>
      </w:r>
    </w:p>
    <w:p w:rsidR="00000000" w:rsidDel="00000000" w:rsidP="00000000" w:rsidRDefault="00000000" w:rsidRPr="00000000" w14:paraId="00000041">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 a nem várt esetre, ha a T. Bíróság megállapíthatónak tartja a szabálysértési felelősséget, úgy indítványozom, hogy az ügy tényállására és a fent kifejtett jogi érvelésre tekintettel a Szabstv. 20. § (1) bekezdése szerint figyelmeztetést alkalmazzon. Az intézkedés alkalmazásának akkor van helye, ha a szabálysértés az elkövetés körülményeire tekintettel csekély súlyú és ettől az intézkedéstől kellő visszatartó hatás várható. A figyelmeztetéssel a szabálysértési hatóság, illetve a bíróság a rosszallását fejezi ki és felhívja az eljárás alá vont személyt arra, hogy a jövőben tartózkodjon szabálysértés elkövetésétől. Az Szabstv. indokolása szerint a figyelmeztetés az opportunitás eszköze, a jogsértés súlytalansága esetén büntetés helyett alkalmazható, a hatóság rosszallását kifejező, nevelő jellegű intézkedés, amely rámutat az adott jogsértés helytelen voltára és egyben felhívja az elkövető figyelmét arra, hogy a jövőben tartózkodjon a hasonló cselekményektől. Az eljáró hatóságok az ún. bagatell jogsértések akkora tömegével találkoznak nap mint nap, melyek szankcionálása akár még egyszerűsített eljárásban is messze meghaladja a jogalkalmazói kapacitásokat, ugyanakkor e cselekmények egy része az elkövetés sajátos körülményei folytán nyilvánvalóan nem is igényli az eljárás lefolytatását és büntetés kiszabását. A törvény ugyan nem ad részletes szempontokat az intézkedés alkalmazásához, de utal arra, hogy mind a cselekménnyel (tárgyi körülmények), mind pedig az eljárás alá vont személlyel összefüggő (alanyi körülmények) tényezőket mérlegre kell tennie a jogalkalmazónak, ha lemond a büntetés alkalmazásáról. Az Szabstv. 21. § szerint a büntetést és az intézkedést úgy kell megállapítani, hogy igazodjék a szabálysértés súlyához. Az eljárás alá vont személy személyi körülményeit annyiban kell figyelembe venni, amennyiben azok a szabálysértési hatóság vagy a bíróság rendelkezésére álló adatokból megállapíthatóak. </w:t>
      </w:r>
    </w:p>
    <w:p w:rsidR="00000000" w:rsidDel="00000000" w:rsidP="00000000" w:rsidRDefault="00000000" w:rsidRPr="00000000" w14:paraId="00000042">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Pénzbírság mérséklése</w:t>
      </w:r>
    </w:p>
    <w:p w:rsidR="00000000" w:rsidDel="00000000" w:rsidP="00000000" w:rsidRDefault="00000000" w:rsidRPr="00000000" w14:paraId="00000044">
      <w:pPr>
        <w:spacing w:after="16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Feltéve, de meg nem engedve, hogy a magatartásomat a T. Bíróság nem tekinti a véleménynyilvánítási szabadság keretén belül értékelendőnek, illetve nem látja helyét intézkedés alkalmazásának, úgy azt indítványozom, hogy a T. Bíróság a kiszabott pénzbírságot csökkentse. </w:t>
      </w:r>
      <w:r w:rsidDel="00000000" w:rsidR="00000000" w:rsidRPr="00000000">
        <w:rPr>
          <w:rFonts w:ascii="Times New Roman" w:cs="Times New Roman" w:eastAsia="Times New Roman" w:hAnsi="Times New Roman"/>
          <w:sz w:val="24"/>
          <w:szCs w:val="24"/>
          <w:highlight w:val="yellow"/>
          <w:rtl w:val="0"/>
        </w:rPr>
        <w:t xml:space="preserve">Ennek indoka, hogy amennyiben a cselekmény társadalomra veszélyessége fennáll, az akkor is rendkívül csekély fokú, továbbá a kiszabott büntetés nincsen összhangban a személyes meghallgatásom során / írásbeli vallomásomban előadott személyi körülményeimből kitűnő anyagi helyzetemmel.</w:t>
      </w:r>
    </w:p>
    <w:p w:rsidR="00000000" w:rsidDel="00000000" w:rsidP="00000000" w:rsidRDefault="00000000" w:rsidRPr="00000000" w14:paraId="00000045">
      <w:pPr>
        <w:spacing w:after="16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6">
      <w:pPr>
        <w:spacing w:after="1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Egyéb indítványok</w:t>
      </w:r>
    </w:p>
    <w:p w:rsidR="00000000" w:rsidDel="00000000" w:rsidP="00000000" w:rsidRDefault="00000000" w:rsidRPr="00000000" w14:paraId="00000047">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Kérem a T. Bíróságot, hogy az ügyben tartson szabálysértési tárgyalást. Álláspontom szerint szükséges bizonyítást lefolytatni annak érdekében, hogy megállapítható legyen az, hogy a kifogásolt magatartásra a véleménynyilvánítási szabadság gyakorlásának keretében került sor. Bizonyítási indítványként kérem, hogy a T. Bíróság szerezze be az ott foganatosított rendőri intézkedésről (nem egyedi, hanem átfogó intézkedések!) készült rendőri jelentéseket, kamera-felvételeket. </w:t>
      </w:r>
    </w:p>
    <w:p w:rsidR="00000000" w:rsidDel="00000000" w:rsidP="00000000" w:rsidRDefault="00000000" w:rsidRPr="00000000" w14:paraId="00000048">
      <w:pPr>
        <w:spacing w:after="1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Budapest, 2020. </w:t>
      </w:r>
      <w:r w:rsidDel="00000000" w:rsidR="00000000" w:rsidRPr="00000000">
        <w:rPr>
          <w:rFonts w:ascii="Times New Roman" w:cs="Times New Roman" w:eastAsia="Times New Roman" w:hAnsi="Times New Roman"/>
          <w:sz w:val="24"/>
          <w:szCs w:val="24"/>
          <w:highlight w:val="yellow"/>
          <w:rtl w:val="0"/>
        </w:rPr>
        <w:t xml:space="preserve">………………....</w:t>
        <w:tab/>
      </w:r>
      <w:r w:rsidDel="00000000" w:rsidR="00000000" w:rsidRPr="00000000">
        <w:rPr>
          <w:rFonts w:ascii="Times New Roman" w:cs="Times New Roman" w:eastAsia="Times New Roman" w:hAnsi="Times New Roman"/>
          <w:sz w:val="24"/>
          <w:szCs w:val="24"/>
          <w:rtl w:val="0"/>
        </w:rPr>
        <w:tab/>
        <w:tab/>
        <w:tab/>
        <w:tab/>
        <w:t xml:space="preserve">Tisztelettel,</w:t>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