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Kérelem ügyféli jogállás megállapítására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Tisztelt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……………. (Kormányhivatal / Katasztrófavédelmi Igazgatóság / egyéb hatóság)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!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…………………………………………(képviselő neve)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………………………………(szervezet neve)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környezetvédelmi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egyesület képviseletében az egyesület ügyféli jogállásának megállapítását és ügyféli jogai gyakorlásának előmozdítását kérem a t. Hatóság előtti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green"/>
          <w:rtl w:val="0"/>
        </w:rPr>
        <w:t xml:space="preserve">…………………………………..….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engedélyezési eljárásban az általános közigazgatási rendtartásról szóló 2016. évi CL. törvény 5. § (2) bekezdésének a) pontja, valamint 10. §-a; továbbá a környezet védelmének általános szabályairól szóló 1995. évi LIII. törvény (a továbbiakban: Kvt.) 98. § (1) bekezdése alapján.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Az ügyféli jogállás alapja: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környezetvédelmi egyesület az engedélyezési eljárás tárgyát képező környezethasználat hatásterületén fejti ki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….. éve/hónapja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tevékenységét környezetvédelemmel foglalkozó szervezetként, melynek igazolására a szervezet alapszabályát mellékletként csatoljuk.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98. § (1) bekezdése szerint a környezetvédelmi érdekek képviseletére létrehozott politikai pártnak és érdekképviseletnek nem minősülő,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 hatásterületen működő egyesületeket (a továbbiakban: szervezet) a környezetvédelmi közigazgatási hatósági eljárásokban a működési területükön az ügyfél jogállása illeti meg.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Kvt. 98. § (1a) bekezdése, 66. § (1) bekezdése és 66/A. § (1) bekezdése szerint környezetvédelmi hatósági eljárásnak minősül a környezethasználattal járó tevékenység engedélyezésére és felülvizsgálatára irányuló hatósági eljárás.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kérelmem mihamarabbi elbírálását és az arról való tájékoztatást a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elektronikus elérhetőség, illetve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postai elérhetőség valamelyikén.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Kelt: </w:t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Szeged, 2023. március 30.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………………(név)...…………..</w:t>
      </w:r>
    </w:p>
    <w:p w:rsidR="00000000" w:rsidDel="00000000" w:rsidP="00000000" w:rsidRDefault="00000000" w:rsidRPr="00000000" w14:paraId="00000017">
      <w:pPr>
        <w:tabs>
          <w:tab w:val="left" w:leader="none" w:pos="648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törvényes képviselő</w:t>
      </w:r>
    </w:p>
    <w:p w:rsidR="00000000" w:rsidDel="00000000" w:rsidP="00000000" w:rsidRDefault="00000000" w:rsidRPr="00000000" w14:paraId="00000018">
      <w:pPr>
        <w:tabs>
          <w:tab w:val="left" w:leader="none" w:pos="567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……………….……………..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egyesület</w:t>
      </w:r>
    </w:p>
    <w:p w:rsidR="00000000" w:rsidDel="00000000" w:rsidP="00000000" w:rsidRDefault="00000000" w:rsidRPr="00000000" w14:paraId="00000019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Csatolmány:</w:t>
      </w:r>
    </w:p>
    <w:p w:rsidR="00000000" w:rsidDel="00000000" w:rsidP="00000000" w:rsidRDefault="00000000" w:rsidRPr="00000000" w14:paraId="0000001B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7020"/>
        </w:tabs>
        <w:jc w:val="both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green"/>
          <w:rtl w:val="0"/>
        </w:rPr>
        <w:t xml:space="preserve">A szervezet alapszabálya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