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2F" w:rsidRPr="008A6F10" w:rsidRDefault="0049232F" w:rsidP="001C1735">
      <w:pPr>
        <w:rPr>
          <w:rFonts w:asciiTheme="majorHAnsi" w:hAnsiTheme="majorHAnsi"/>
          <w:b/>
          <w:lang w:val="en-US"/>
        </w:rPr>
      </w:pPr>
    </w:p>
    <w:p w:rsidR="0049232F" w:rsidRPr="008A6F10" w:rsidRDefault="0049232F" w:rsidP="0049232F">
      <w:pPr>
        <w:tabs>
          <w:tab w:val="left" w:pos="567"/>
        </w:tabs>
        <w:snapToGrid w:val="0"/>
        <w:spacing w:line="20" w:lineRule="atLeast"/>
        <w:rPr>
          <w:b/>
          <w:bCs/>
          <w:sz w:val="36"/>
          <w:szCs w:val="36"/>
          <w:lang w:val="en-US"/>
        </w:rPr>
      </w:pPr>
      <w:r w:rsidRPr="008A6F10">
        <w:rPr>
          <w:b/>
          <w:bCs/>
          <w:sz w:val="36"/>
          <w:szCs w:val="36"/>
          <w:lang w:val="en-US"/>
        </w:rPr>
        <w:tab/>
      </w:r>
      <w:r w:rsidRPr="008A6F10">
        <w:rPr>
          <w:b/>
          <w:bCs/>
          <w:sz w:val="36"/>
          <w:szCs w:val="36"/>
          <w:lang w:val="en-US"/>
        </w:rPr>
        <w:tab/>
      </w:r>
      <w:r w:rsidRPr="008A6F10">
        <w:rPr>
          <w:b/>
          <w:bCs/>
          <w:sz w:val="36"/>
          <w:szCs w:val="36"/>
          <w:lang w:val="en-US"/>
        </w:rPr>
        <w:tab/>
      </w:r>
      <w:r w:rsidRPr="008A6F10">
        <w:rPr>
          <w:b/>
          <w:bCs/>
          <w:sz w:val="36"/>
          <w:szCs w:val="36"/>
          <w:lang w:val="en-US"/>
        </w:rPr>
        <w:tab/>
      </w:r>
      <w:r w:rsidRPr="008A6F10">
        <w:rPr>
          <w:b/>
          <w:bCs/>
          <w:sz w:val="36"/>
          <w:szCs w:val="36"/>
          <w:lang w:val="en-US"/>
        </w:rPr>
        <w:tab/>
        <w:t>RECOMMENDATIONS</w:t>
      </w:r>
    </w:p>
    <w:p w:rsidR="0049232F" w:rsidRPr="008A6F10" w:rsidRDefault="0049232F" w:rsidP="0049232F">
      <w:pPr>
        <w:tabs>
          <w:tab w:val="left" w:pos="567"/>
        </w:tabs>
        <w:snapToGrid w:val="0"/>
        <w:spacing w:line="20" w:lineRule="atLeast"/>
        <w:ind w:firstLine="14"/>
        <w:jc w:val="center"/>
        <w:rPr>
          <w:b/>
          <w:bCs/>
          <w:lang w:val="en-US"/>
        </w:rPr>
      </w:pPr>
    </w:p>
    <w:p w:rsidR="0049232F" w:rsidRPr="008A6F10" w:rsidRDefault="0049232F" w:rsidP="0049232F">
      <w:pPr>
        <w:tabs>
          <w:tab w:val="left" w:pos="567"/>
        </w:tabs>
        <w:snapToGrid w:val="0"/>
        <w:spacing w:after="120" w:line="20" w:lineRule="atLeast"/>
        <w:ind w:firstLine="14"/>
        <w:jc w:val="center"/>
        <w:rPr>
          <w:b/>
          <w:bCs/>
          <w:sz w:val="32"/>
          <w:szCs w:val="32"/>
          <w:lang w:val="en-US"/>
        </w:rPr>
      </w:pPr>
      <w:r w:rsidRPr="008A6F10">
        <w:rPr>
          <w:b/>
          <w:bCs/>
          <w:sz w:val="32"/>
          <w:szCs w:val="32"/>
          <w:lang w:val="en-US"/>
        </w:rPr>
        <w:t>HUNGARY - Submission to the UN Universal Periodic Review</w:t>
      </w:r>
    </w:p>
    <w:p w:rsidR="0049232F" w:rsidRPr="008A6F10" w:rsidRDefault="0049232F" w:rsidP="0049232F">
      <w:pPr>
        <w:tabs>
          <w:tab w:val="left" w:pos="567"/>
        </w:tabs>
        <w:snapToGrid w:val="0"/>
        <w:spacing w:after="120" w:line="20" w:lineRule="atLeast"/>
        <w:ind w:firstLine="14"/>
        <w:jc w:val="center"/>
        <w:rPr>
          <w:b/>
          <w:bCs/>
          <w:lang w:val="en-US"/>
        </w:rPr>
      </w:pPr>
      <w:r w:rsidRPr="008A6F10">
        <w:rPr>
          <w:b/>
          <w:bCs/>
          <w:lang w:val="en-US"/>
        </w:rPr>
        <w:t>September 2015</w:t>
      </w:r>
    </w:p>
    <w:p w:rsidR="0049232F" w:rsidRPr="008A6F10" w:rsidRDefault="0049232F" w:rsidP="0049232F">
      <w:pPr>
        <w:tabs>
          <w:tab w:val="left" w:pos="567"/>
        </w:tabs>
        <w:snapToGrid w:val="0"/>
        <w:spacing w:line="20" w:lineRule="atLeast"/>
        <w:ind w:firstLine="14"/>
        <w:jc w:val="both"/>
        <w:rPr>
          <w:b/>
          <w:bCs/>
          <w:lang w:val="en-US"/>
        </w:rPr>
      </w:pPr>
    </w:p>
    <w:p w:rsidR="0049232F" w:rsidRPr="008A6F10" w:rsidRDefault="0049232F" w:rsidP="0049232F">
      <w:pPr>
        <w:tabs>
          <w:tab w:val="left" w:pos="567"/>
        </w:tabs>
        <w:snapToGrid w:val="0"/>
        <w:spacing w:line="20" w:lineRule="atLeast"/>
        <w:ind w:firstLine="14"/>
        <w:jc w:val="both"/>
        <w:rPr>
          <w:b/>
          <w:bCs/>
          <w:lang w:val="en-US"/>
        </w:rPr>
      </w:pPr>
    </w:p>
    <w:p w:rsidR="0049232F" w:rsidRPr="008A6F10" w:rsidRDefault="0049232F" w:rsidP="0049232F">
      <w:pPr>
        <w:tabs>
          <w:tab w:val="left" w:pos="567"/>
        </w:tabs>
        <w:snapToGrid w:val="0"/>
        <w:spacing w:line="20" w:lineRule="atLeast"/>
        <w:ind w:firstLine="14"/>
        <w:jc w:val="both"/>
        <w:rPr>
          <w:b/>
          <w:bCs/>
          <w:lang w:val="en-US"/>
        </w:rPr>
      </w:pPr>
    </w:p>
    <w:p w:rsidR="0049232F" w:rsidRPr="008A6F10" w:rsidRDefault="0049232F">
      <w:pPr>
        <w:rPr>
          <w:rFonts w:asciiTheme="majorHAnsi" w:hAnsiTheme="majorHAnsi"/>
          <w:b/>
          <w:lang w:val="en-US"/>
        </w:rPr>
      </w:pPr>
    </w:p>
    <w:p w:rsidR="0049232F" w:rsidRPr="008A6F10" w:rsidRDefault="0049232F" w:rsidP="001C1735">
      <w:pPr>
        <w:rPr>
          <w:rFonts w:asciiTheme="majorHAnsi" w:hAnsiTheme="majorHAnsi"/>
          <w:b/>
          <w:lang w:val="en-US"/>
        </w:rPr>
      </w:pPr>
    </w:p>
    <w:p w:rsidR="0049232F" w:rsidRPr="008A6F10" w:rsidRDefault="0049232F" w:rsidP="001C1735">
      <w:pPr>
        <w:rPr>
          <w:rFonts w:asciiTheme="majorHAnsi" w:hAnsiTheme="majorHAnsi"/>
          <w:b/>
          <w:lang w:val="en-US"/>
        </w:rPr>
      </w:pPr>
    </w:p>
    <w:p w:rsidR="0049232F" w:rsidRPr="008A6F10" w:rsidRDefault="0049232F" w:rsidP="001C1735">
      <w:pPr>
        <w:rPr>
          <w:rFonts w:asciiTheme="majorHAnsi" w:hAnsiTheme="majorHAnsi"/>
          <w:b/>
          <w:lang w:val="en-US"/>
        </w:rPr>
      </w:pPr>
    </w:p>
    <w:p w:rsidR="0049232F" w:rsidRPr="008A6F10" w:rsidRDefault="0049232F" w:rsidP="001C1735">
      <w:pPr>
        <w:rPr>
          <w:rFonts w:asciiTheme="majorHAnsi" w:hAnsiTheme="majorHAnsi"/>
          <w:b/>
          <w:lang w:val="en-US"/>
        </w:rPr>
      </w:pPr>
    </w:p>
    <w:p w:rsidR="0049232F" w:rsidRPr="008A6F10" w:rsidRDefault="0049232F" w:rsidP="001C1735">
      <w:pPr>
        <w:rPr>
          <w:rFonts w:asciiTheme="majorHAnsi" w:hAnsiTheme="majorHAnsi"/>
          <w:b/>
          <w:lang w:val="en-US"/>
        </w:rPr>
      </w:pPr>
    </w:p>
    <w:p w:rsidR="0049232F" w:rsidRPr="008A6F10" w:rsidRDefault="0049232F" w:rsidP="001C1735">
      <w:pPr>
        <w:rPr>
          <w:rFonts w:asciiTheme="majorHAnsi" w:hAnsiTheme="majorHAnsi"/>
          <w:b/>
          <w:lang w:val="en-US"/>
        </w:rPr>
      </w:pPr>
    </w:p>
    <w:p w:rsidR="0049232F" w:rsidRPr="008A6F10" w:rsidRDefault="0049232F" w:rsidP="001C1735">
      <w:pPr>
        <w:rPr>
          <w:rFonts w:asciiTheme="majorHAnsi" w:hAnsiTheme="majorHAnsi"/>
          <w:b/>
          <w:lang w:val="en-US"/>
        </w:rPr>
      </w:pPr>
    </w:p>
    <w:p w:rsidR="0049232F" w:rsidRPr="008A6F10" w:rsidRDefault="0049232F" w:rsidP="001C1735">
      <w:pPr>
        <w:rPr>
          <w:rFonts w:asciiTheme="majorHAnsi" w:hAnsiTheme="majorHAnsi"/>
          <w:b/>
          <w:lang w:val="en-US"/>
        </w:rPr>
      </w:pPr>
    </w:p>
    <w:p w:rsidR="0049232F" w:rsidRPr="008A6F10" w:rsidRDefault="0049232F" w:rsidP="001C1735">
      <w:pPr>
        <w:rPr>
          <w:rFonts w:asciiTheme="majorHAnsi" w:hAnsiTheme="majorHAnsi"/>
          <w:b/>
          <w:lang w:val="en-US"/>
        </w:rPr>
      </w:pPr>
    </w:p>
    <w:p w:rsidR="0049232F" w:rsidRPr="008A6F10" w:rsidRDefault="0049232F" w:rsidP="001C1735">
      <w:pPr>
        <w:rPr>
          <w:rFonts w:asciiTheme="majorHAnsi" w:hAnsiTheme="majorHAnsi"/>
          <w:b/>
          <w:lang w:val="en-US"/>
        </w:rPr>
      </w:pPr>
    </w:p>
    <w:p w:rsidR="0049232F" w:rsidRPr="008A6F10" w:rsidRDefault="0049232F" w:rsidP="001C1735">
      <w:pPr>
        <w:rPr>
          <w:rFonts w:asciiTheme="majorHAnsi" w:hAnsiTheme="majorHAnsi"/>
          <w:b/>
          <w:lang w:val="en-US"/>
        </w:rPr>
      </w:pPr>
    </w:p>
    <w:p w:rsidR="0049232F" w:rsidRPr="008A6F10" w:rsidRDefault="0049232F" w:rsidP="001C1735">
      <w:pPr>
        <w:rPr>
          <w:rFonts w:asciiTheme="majorHAnsi" w:hAnsiTheme="majorHAnsi"/>
          <w:b/>
          <w:lang w:val="en-US"/>
        </w:rPr>
      </w:pPr>
    </w:p>
    <w:p w:rsidR="0049232F" w:rsidRPr="008A6F10" w:rsidRDefault="0049232F" w:rsidP="001C1735">
      <w:pPr>
        <w:rPr>
          <w:rFonts w:asciiTheme="majorHAnsi" w:hAnsiTheme="majorHAnsi"/>
          <w:b/>
          <w:lang w:val="en-US"/>
        </w:rPr>
      </w:pPr>
    </w:p>
    <w:p w:rsidR="0049232F" w:rsidRPr="008A6F10" w:rsidRDefault="0049232F" w:rsidP="001C1735">
      <w:pPr>
        <w:rPr>
          <w:rFonts w:asciiTheme="majorHAnsi" w:hAnsiTheme="majorHAnsi"/>
          <w:b/>
          <w:lang w:val="en-US"/>
        </w:rPr>
      </w:pPr>
    </w:p>
    <w:p w:rsidR="0049232F" w:rsidRPr="008A6F10" w:rsidRDefault="0049232F" w:rsidP="001C1735">
      <w:pPr>
        <w:rPr>
          <w:rFonts w:asciiTheme="majorHAnsi" w:hAnsiTheme="majorHAnsi"/>
          <w:b/>
          <w:lang w:val="en-US"/>
        </w:rPr>
      </w:pPr>
    </w:p>
    <w:p w:rsidR="0049232F" w:rsidRPr="008A6F10" w:rsidRDefault="0049232F" w:rsidP="001C1735">
      <w:pPr>
        <w:rPr>
          <w:rFonts w:asciiTheme="majorHAnsi" w:hAnsiTheme="majorHAnsi"/>
          <w:b/>
          <w:lang w:val="en-US"/>
        </w:rPr>
      </w:pPr>
    </w:p>
    <w:p w:rsidR="0049232F" w:rsidRPr="008A6F10" w:rsidRDefault="0049232F" w:rsidP="00997F76">
      <w:pPr>
        <w:pStyle w:val="Style-3"/>
        <w:spacing w:line="20" w:lineRule="atLeast"/>
        <w:jc w:val="center"/>
        <w:rPr>
          <w:vanish/>
          <w:color w:val="000000"/>
          <w:sz w:val="18"/>
          <w:szCs w:val="18"/>
          <w:shd w:val="clear" w:color="auto" w:fill="FFFF00"/>
        </w:rPr>
      </w:pPr>
      <w:r w:rsidRPr="008A6F10">
        <w:rPr>
          <w:vanish/>
          <w:color w:val="000000"/>
          <w:sz w:val="18"/>
          <w:szCs w:val="18"/>
          <w:shd w:val="clear" w:color="auto" w:fill="FFFF00"/>
        </w:rPr>
        <w:t>&lt;</w:t>
      </w:r>
    </w:p>
    <w:p w:rsidR="004670C8" w:rsidRDefault="00EC5B6B" w:rsidP="00997F76">
      <w:pPr>
        <w:pStyle w:val="Style-3"/>
        <w:tabs>
          <w:tab w:val="left" w:pos="0"/>
        </w:tabs>
        <w:spacing w:line="20" w:lineRule="atLeast"/>
        <w:jc w:val="center"/>
        <w:rPr>
          <w:noProof/>
          <w:color w:val="000000"/>
          <w:sz w:val="24"/>
          <w:szCs w:val="24"/>
          <w:lang w:val="hu-HU" w:eastAsia="hu-HU"/>
        </w:rPr>
      </w:pPr>
      <w:r>
        <w:rPr>
          <w:noProof/>
          <w:color w:val="000000"/>
          <w:sz w:val="24"/>
          <w:szCs w:val="24"/>
          <w:lang w:val="hu-HU" w:eastAsia="hu-HU"/>
        </w:rPr>
        <w:drawing>
          <wp:inline distT="0" distB="0" distL="0" distR="0">
            <wp:extent cx="977610" cy="29083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clu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7862" cy="293880"/>
                    </a:xfrm>
                    <a:prstGeom prst="rect">
                      <a:avLst/>
                    </a:prstGeom>
                  </pic:spPr>
                </pic:pic>
              </a:graphicData>
            </a:graphic>
          </wp:inline>
        </w:drawing>
      </w:r>
      <w:r w:rsidR="00ED140D" w:rsidRPr="008A6F10">
        <w:rPr>
          <w:rFonts w:asciiTheme="majorHAnsi" w:hAnsiTheme="majorHAnsi"/>
          <w:b/>
          <w:noProof/>
          <w:lang w:val="hu-HU" w:eastAsia="hu-HU"/>
        </w:rPr>
        <w:drawing>
          <wp:inline distT="0" distB="0" distL="0" distR="0" wp14:anchorId="7611304D" wp14:editId="0C76E101">
            <wp:extent cx="628650" cy="405132"/>
            <wp:effectExtent l="0" t="0" r="0" b="0"/>
            <wp:docPr id="1" name="Picture 1" descr="O:\STATIONERY AND LOGOS\logos\Current logo\MDAC - 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TIONERY AND LOGOS\logos\Current logo\MDAC - mai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527" cy="425675"/>
                    </a:xfrm>
                    <a:prstGeom prst="rect">
                      <a:avLst/>
                    </a:prstGeom>
                    <a:noFill/>
                    <a:ln>
                      <a:noFill/>
                    </a:ln>
                  </pic:spPr>
                </pic:pic>
              </a:graphicData>
            </a:graphic>
          </wp:inline>
        </w:drawing>
      </w:r>
      <w:r w:rsidR="0064422C" w:rsidRPr="008A6F10">
        <w:rPr>
          <w:noProof/>
          <w:color w:val="000000"/>
          <w:sz w:val="24"/>
          <w:szCs w:val="24"/>
          <w:lang w:val="hu-HU" w:eastAsia="hu-HU"/>
        </w:rPr>
        <w:drawing>
          <wp:inline distT="0" distB="0" distL="0" distR="0" wp14:anchorId="47A28D8C" wp14:editId="421D17D0">
            <wp:extent cx="923925" cy="230981"/>
            <wp:effectExtent l="0" t="0" r="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0607" cy="235152"/>
                    </a:xfrm>
                    <a:prstGeom prst="rect">
                      <a:avLst/>
                    </a:prstGeom>
                    <a:solidFill>
                      <a:srgbClr val="FFFFFF">
                        <a:alpha val="0"/>
                      </a:srgbClr>
                    </a:solidFill>
                    <a:ln>
                      <a:noFill/>
                    </a:ln>
                  </pic:spPr>
                </pic:pic>
              </a:graphicData>
            </a:graphic>
          </wp:inline>
        </w:drawing>
      </w:r>
      <w:r w:rsidR="00ED140D" w:rsidRPr="008A6F10">
        <w:rPr>
          <w:noProof/>
          <w:lang w:val="hu-HU" w:eastAsia="hu-HU"/>
        </w:rPr>
        <w:drawing>
          <wp:inline distT="0" distB="0" distL="0" distR="0" wp14:anchorId="71276C3D" wp14:editId="10704CA9">
            <wp:extent cx="561975" cy="296187"/>
            <wp:effectExtent l="0" t="0" r="0" b="889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959" cy="304084"/>
                    </a:xfrm>
                    <a:prstGeom prst="rect">
                      <a:avLst/>
                    </a:prstGeom>
                    <a:solidFill>
                      <a:srgbClr val="FFFFFF">
                        <a:alpha val="0"/>
                      </a:srgbClr>
                    </a:solidFill>
                    <a:ln>
                      <a:noFill/>
                    </a:ln>
                  </pic:spPr>
                </pic:pic>
              </a:graphicData>
            </a:graphic>
          </wp:inline>
        </w:drawing>
      </w:r>
      <w:r w:rsidR="009431CB">
        <w:rPr>
          <w:rFonts w:ascii="Arial" w:hAnsi="Arial" w:cs="Arial"/>
          <w:b/>
          <w:noProof/>
          <w:lang w:val="hu-HU" w:eastAsia="hu-HU"/>
        </w:rPr>
        <w:drawing>
          <wp:inline distT="0" distB="0" distL="0" distR="0" wp14:anchorId="3F39A378" wp14:editId="214115A7">
            <wp:extent cx="914400" cy="428506"/>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7936" cy="430163"/>
                    </a:xfrm>
                    <a:prstGeom prst="rect">
                      <a:avLst/>
                    </a:prstGeom>
                    <a:noFill/>
                    <a:ln>
                      <a:noFill/>
                    </a:ln>
                  </pic:spPr>
                </pic:pic>
              </a:graphicData>
            </a:graphic>
          </wp:inline>
        </w:drawing>
      </w:r>
      <w:r w:rsidR="0035378F">
        <w:rPr>
          <w:noProof/>
          <w:lang w:val="hu-HU" w:eastAsia="hu-HU"/>
        </w:rPr>
        <w:drawing>
          <wp:inline distT="0" distB="0" distL="0" distR="0" wp14:anchorId="58E86016" wp14:editId="65BB2393">
            <wp:extent cx="1333500" cy="40005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1052"/>
                    <a:stretch/>
                  </pic:blipFill>
                  <pic:spPr bwMode="auto">
                    <a:xfrm>
                      <a:off x="0" y="0"/>
                      <a:ext cx="1334587" cy="400376"/>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r w:rsidR="00AD11B3">
        <w:rPr>
          <w:noProof/>
          <w:color w:val="000000"/>
          <w:sz w:val="24"/>
          <w:szCs w:val="24"/>
          <w:lang w:val="hu-HU" w:eastAsia="hu-HU"/>
        </w:rPr>
        <w:drawing>
          <wp:inline distT="0" distB="0" distL="0" distR="0" wp14:anchorId="5750BAB5" wp14:editId="4F1798B4">
            <wp:extent cx="1066800" cy="38118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YEM_logo_simple_col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7653" cy="385063"/>
                    </a:xfrm>
                    <a:prstGeom prst="rect">
                      <a:avLst/>
                    </a:prstGeom>
                  </pic:spPr>
                </pic:pic>
              </a:graphicData>
            </a:graphic>
          </wp:inline>
        </w:drawing>
      </w:r>
      <w:r w:rsidR="00AD11B3">
        <w:rPr>
          <w:noProof/>
          <w:color w:val="000000"/>
          <w:sz w:val="24"/>
          <w:szCs w:val="24"/>
          <w:lang w:val="hu-HU" w:eastAsia="hu-HU"/>
        </w:rPr>
        <w:drawing>
          <wp:inline distT="0" distB="0" distL="0" distR="0" wp14:anchorId="574A2142" wp14:editId="51EAC215">
            <wp:extent cx="809625" cy="326733"/>
            <wp:effectExtent l="0" t="0" r="0" b="0"/>
            <wp:docPr id="7" name="Kép 4" descr="ERRC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C_Logo_4C.jpg"/>
                    <pic:cNvPicPr/>
                  </pic:nvPicPr>
                  <pic:blipFill>
                    <a:blip r:embed="rId15"/>
                    <a:stretch>
                      <a:fillRect/>
                    </a:stretch>
                  </pic:blipFill>
                  <pic:spPr>
                    <a:xfrm>
                      <a:off x="0" y="0"/>
                      <a:ext cx="816814" cy="329634"/>
                    </a:xfrm>
                    <a:prstGeom prst="rect">
                      <a:avLst/>
                    </a:prstGeom>
                  </pic:spPr>
                </pic:pic>
              </a:graphicData>
            </a:graphic>
          </wp:inline>
        </w:drawing>
      </w:r>
      <w:r w:rsidR="00AD11B3" w:rsidRPr="008A6F10">
        <w:rPr>
          <w:noProof/>
          <w:color w:val="000000"/>
          <w:sz w:val="24"/>
          <w:szCs w:val="24"/>
          <w:lang w:val="hu-HU" w:eastAsia="hu-HU"/>
        </w:rPr>
        <w:drawing>
          <wp:inline distT="0" distB="0" distL="0" distR="0" wp14:anchorId="6587531F" wp14:editId="138CBBE8">
            <wp:extent cx="409575" cy="500591"/>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4059" cy="506071"/>
                    </a:xfrm>
                    <a:prstGeom prst="rect">
                      <a:avLst/>
                    </a:prstGeom>
                    <a:solidFill>
                      <a:srgbClr val="FFFFFF">
                        <a:alpha val="0"/>
                      </a:srgbClr>
                    </a:solidFill>
                    <a:ln>
                      <a:noFill/>
                    </a:ln>
                  </pic:spPr>
                </pic:pic>
              </a:graphicData>
            </a:graphic>
          </wp:inline>
        </w:drawing>
      </w:r>
    </w:p>
    <w:p w:rsidR="00D62A4E" w:rsidRDefault="004670C8" w:rsidP="00997F76">
      <w:pPr>
        <w:pStyle w:val="Style-3"/>
        <w:tabs>
          <w:tab w:val="left" w:pos="0"/>
        </w:tabs>
        <w:spacing w:line="20" w:lineRule="atLeast"/>
        <w:jc w:val="center"/>
        <w:rPr>
          <w:color w:val="000000"/>
          <w:sz w:val="24"/>
          <w:szCs w:val="24"/>
        </w:rPr>
      </w:pPr>
      <w:r>
        <w:rPr>
          <w:noProof/>
          <w:color w:val="000000"/>
          <w:sz w:val="24"/>
          <w:szCs w:val="24"/>
          <w:lang w:val="hu-HU" w:eastAsia="hu-HU"/>
        </w:rPr>
        <w:drawing>
          <wp:inline distT="0" distB="0" distL="0" distR="0" wp14:anchorId="70937199" wp14:editId="6379F1B8">
            <wp:extent cx="991991" cy="313055"/>
            <wp:effectExtent l="0" t="0" r="0" b="0"/>
            <wp:docPr id="8" name="Kép 7" descr="SOS_Logo ne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 neg_RGB.jpg"/>
                    <pic:cNvPicPr/>
                  </pic:nvPicPr>
                  <pic:blipFill>
                    <a:blip r:embed="rId17" cstate="print"/>
                    <a:stretch>
                      <a:fillRect/>
                    </a:stretch>
                  </pic:blipFill>
                  <pic:spPr>
                    <a:xfrm>
                      <a:off x="0" y="0"/>
                      <a:ext cx="993670" cy="313585"/>
                    </a:xfrm>
                    <a:prstGeom prst="rect">
                      <a:avLst/>
                    </a:prstGeom>
                  </pic:spPr>
                </pic:pic>
              </a:graphicData>
            </a:graphic>
          </wp:inline>
        </w:drawing>
      </w:r>
      <w:r>
        <w:rPr>
          <w:noProof/>
          <w:color w:val="000000"/>
          <w:sz w:val="24"/>
          <w:szCs w:val="24"/>
          <w:lang w:val="hu-HU" w:eastAsia="hu-HU"/>
        </w:rPr>
        <w:drawing>
          <wp:inline distT="0" distB="0" distL="0" distR="0" wp14:anchorId="583B00BA" wp14:editId="6A97B416">
            <wp:extent cx="1223817" cy="336550"/>
            <wp:effectExtent l="0" t="0" r="0" b="6350"/>
            <wp:docPr id="9" name="Kép 8" descr="sinosz_logo_felirattal_20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z_logo_felirattal_2012_rgb.jpg"/>
                    <pic:cNvPicPr/>
                  </pic:nvPicPr>
                  <pic:blipFill>
                    <a:blip r:embed="rId18" cstate="print"/>
                    <a:stretch>
                      <a:fillRect/>
                    </a:stretch>
                  </pic:blipFill>
                  <pic:spPr>
                    <a:xfrm>
                      <a:off x="0" y="0"/>
                      <a:ext cx="1227795" cy="337644"/>
                    </a:xfrm>
                    <a:prstGeom prst="rect">
                      <a:avLst/>
                    </a:prstGeom>
                  </pic:spPr>
                </pic:pic>
              </a:graphicData>
            </a:graphic>
          </wp:inline>
        </w:drawing>
      </w:r>
      <w:r w:rsidR="00CD1018">
        <w:rPr>
          <w:noProof/>
          <w:color w:val="000000"/>
          <w:sz w:val="24"/>
          <w:szCs w:val="24"/>
          <w:lang w:val="hu-HU" w:eastAsia="hu-HU"/>
        </w:rPr>
        <w:drawing>
          <wp:inline distT="0" distB="0" distL="0" distR="0" wp14:anchorId="58E4ABFF" wp14:editId="57A74714">
            <wp:extent cx="733425" cy="366713"/>
            <wp:effectExtent l="0" t="0" r="0" b="0"/>
            <wp:docPr id="3" name="Kép 2" descr="GYERE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ERE_logo (1).png"/>
                    <pic:cNvPicPr/>
                  </pic:nvPicPr>
                  <pic:blipFill>
                    <a:blip r:embed="rId19" cstate="print"/>
                    <a:stretch>
                      <a:fillRect/>
                    </a:stretch>
                  </pic:blipFill>
                  <pic:spPr>
                    <a:xfrm>
                      <a:off x="0" y="0"/>
                      <a:ext cx="738145" cy="369073"/>
                    </a:xfrm>
                    <a:prstGeom prst="rect">
                      <a:avLst/>
                    </a:prstGeom>
                  </pic:spPr>
                </pic:pic>
              </a:graphicData>
            </a:graphic>
          </wp:inline>
        </w:drawing>
      </w:r>
      <w:r>
        <w:rPr>
          <w:noProof/>
          <w:color w:val="000000"/>
          <w:sz w:val="24"/>
          <w:szCs w:val="24"/>
          <w:lang w:val="hu-HU" w:eastAsia="hu-HU"/>
        </w:rPr>
        <w:drawing>
          <wp:inline distT="0" distB="0" distL="0" distR="0" wp14:anchorId="475EA441" wp14:editId="14D0313A">
            <wp:extent cx="810289" cy="299136"/>
            <wp:effectExtent l="19050" t="0" r="8861" b="0"/>
            <wp:docPr id="10" name="Kép 9" descr="unicef-magyarbizottsag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magyarbizottsag_blue.jpg"/>
                    <pic:cNvPicPr/>
                  </pic:nvPicPr>
                  <pic:blipFill>
                    <a:blip r:embed="rId20" cstate="print"/>
                    <a:stretch>
                      <a:fillRect/>
                    </a:stretch>
                  </pic:blipFill>
                  <pic:spPr>
                    <a:xfrm>
                      <a:off x="0" y="0"/>
                      <a:ext cx="809870" cy="298981"/>
                    </a:xfrm>
                    <a:prstGeom prst="rect">
                      <a:avLst/>
                    </a:prstGeom>
                  </pic:spPr>
                </pic:pic>
              </a:graphicData>
            </a:graphic>
          </wp:inline>
        </w:drawing>
      </w:r>
      <w:r>
        <w:rPr>
          <w:noProof/>
          <w:color w:val="000000"/>
          <w:sz w:val="24"/>
          <w:szCs w:val="24"/>
          <w:lang w:val="hu-HU" w:eastAsia="hu-HU"/>
        </w:rPr>
        <w:drawing>
          <wp:inline distT="0" distB="0" distL="0" distR="0" wp14:anchorId="11FD28DC" wp14:editId="38152889">
            <wp:extent cx="693332" cy="490284"/>
            <wp:effectExtent l="19050" t="0" r="0" b="5016"/>
            <wp:docPr id="12" name="Kép 11" descr="Kék Vonal_Logó_OK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k Vonal_Logó_OK_01.2.jpg"/>
                    <pic:cNvPicPr/>
                  </pic:nvPicPr>
                  <pic:blipFill>
                    <a:blip r:embed="rId21" cstate="print"/>
                    <a:stretch>
                      <a:fillRect/>
                    </a:stretch>
                  </pic:blipFill>
                  <pic:spPr>
                    <a:xfrm>
                      <a:off x="0" y="0"/>
                      <a:ext cx="694805" cy="491326"/>
                    </a:xfrm>
                    <a:prstGeom prst="rect">
                      <a:avLst/>
                    </a:prstGeom>
                  </pic:spPr>
                </pic:pic>
              </a:graphicData>
            </a:graphic>
          </wp:inline>
        </w:drawing>
      </w:r>
      <w:r w:rsidR="00B41AB4">
        <w:rPr>
          <w:noProof/>
          <w:color w:val="000000"/>
          <w:sz w:val="24"/>
          <w:szCs w:val="24"/>
          <w:lang w:val="hu-HU" w:eastAsia="hu-HU"/>
        </w:rPr>
        <w:drawing>
          <wp:inline distT="0" distB="0" distL="0" distR="0" wp14:anchorId="1EC0D47B" wp14:editId="66A43BD0">
            <wp:extent cx="476250" cy="476250"/>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FCF.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r w:rsidR="00AD11B3">
        <w:rPr>
          <w:noProof/>
          <w:color w:val="000000"/>
          <w:sz w:val="24"/>
          <w:szCs w:val="24"/>
          <w:lang w:val="hu-HU" w:eastAsia="hu-HU"/>
        </w:rPr>
        <w:drawing>
          <wp:inline distT="0" distB="0" distL="0" distR="0" wp14:anchorId="45977F31" wp14:editId="5FF75277">
            <wp:extent cx="514350" cy="514350"/>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zulok_eu_banner125x12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rsidR="00832FDA" w:rsidRDefault="00832FDA" w:rsidP="000C3030">
      <w:pPr>
        <w:pStyle w:val="Style-3"/>
        <w:spacing w:line="20" w:lineRule="atLeast"/>
        <w:rPr>
          <w:rFonts w:ascii="Calibri Light" w:eastAsiaTheme="minorHAnsi" w:hAnsi="Calibri Light" w:cs="Arial"/>
          <w:color w:val="222222"/>
          <w:shd w:val="clear" w:color="auto" w:fill="FFFFFF"/>
          <w:lang w:eastAsia="en-US"/>
        </w:rPr>
      </w:pPr>
    </w:p>
    <w:p w:rsidR="000C3030" w:rsidRPr="000C3030" w:rsidRDefault="000C3030" w:rsidP="000C3030">
      <w:pPr>
        <w:pStyle w:val="Style-3"/>
        <w:spacing w:line="20" w:lineRule="atLeast"/>
        <w:rPr>
          <w:rFonts w:asciiTheme="majorHAnsi" w:hAnsiTheme="majorHAnsi"/>
          <w:color w:val="000000"/>
          <w:sz w:val="22"/>
          <w:szCs w:val="22"/>
        </w:rPr>
      </w:pPr>
      <w:r w:rsidRPr="000C3030">
        <w:rPr>
          <w:rFonts w:asciiTheme="majorHAnsi" w:hAnsiTheme="majorHAnsi"/>
          <w:b/>
          <w:color w:val="000000"/>
          <w:sz w:val="22"/>
          <w:szCs w:val="22"/>
        </w:rPr>
        <w:lastRenderedPageBreak/>
        <w:t>Contributed by</w:t>
      </w:r>
    </w:p>
    <w:p w:rsidR="000C3030" w:rsidRDefault="000C3030" w:rsidP="00D62A4E">
      <w:pPr>
        <w:spacing w:line="240" w:lineRule="auto"/>
        <w:jc w:val="both"/>
        <w:rPr>
          <w:rFonts w:ascii="Calibri Light" w:hAnsi="Calibri Light" w:cs="Arial"/>
          <w:color w:val="222222"/>
          <w:sz w:val="20"/>
          <w:szCs w:val="20"/>
          <w:shd w:val="clear" w:color="auto" w:fill="FFFFFF"/>
          <w:lang w:val="en-US"/>
        </w:rPr>
      </w:pPr>
    </w:p>
    <w:p w:rsidR="00D62A4E" w:rsidRPr="00B243CF" w:rsidRDefault="00D62A4E" w:rsidP="00F80D77">
      <w:pPr>
        <w:spacing w:line="240" w:lineRule="auto"/>
        <w:jc w:val="both"/>
        <w:rPr>
          <w:rFonts w:ascii="Calibri Light" w:hAnsi="Calibri Light"/>
          <w:sz w:val="20"/>
          <w:szCs w:val="20"/>
          <w:lang w:val="en-US"/>
        </w:rPr>
      </w:pPr>
      <w:r w:rsidRPr="00B243CF">
        <w:rPr>
          <w:rFonts w:ascii="Calibri Light" w:hAnsi="Calibri Light" w:cs="Arial"/>
          <w:color w:val="222222"/>
          <w:sz w:val="20"/>
          <w:szCs w:val="20"/>
          <w:shd w:val="clear" w:color="auto" w:fill="FFFFFF"/>
          <w:lang w:val="en-US"/>
        </w:rPr>
        <w:t xml:space="preserve">The </w:t>
      </w:r>
      <w:r w:rsidRPr="00B243CF">
        <w:rPr>
          <w:rFonts w:ascii="Calibri Light" w:hAnsi="Calibri Light" w:cs="Arial"/>
          <w:b/>
          <w:color w:val="222222"/>
          <w:sz w:val="20"/>
          <w:szCs w:val="20"/>
          <w:shd w:val="clear" w:color="auto" w:fill="FFFFFF"/>
          <w:lang w:val="en-US"/>
        </w:rPr>
        <w:t>Mental Disability Advocacy Centre</w:t>
      </w:r>
      <w:r w:rsidRPr="00B243CF">
        <w:rPr>
          <w:rFonts w:ascii="Calibri Light" w:hAnsi="Calibri Light" w:cs="Arial"/>
          <w:color w:val="222222"/>
          <w:sz w:val="20"/>
          <w:szCs w:val="20"/>
          <w:shd w:val="clear" w:color="auto" w:fill="FFFFFF"/>
          <w:lang w:val="en-US"/>
        </w:rPr>
        <w:t xml:space="preserve"> (MDAC) is a</w:t>
      </w:r>
      <w:r w:rsidRPr="00B243CF">
        <w:rPr>
          <w:rStyle w:val="apple-converted-space"/>
          <w:rFonts w:ascii="Calibri Light" w:hAnsi="Calibri Light" w:cs="Arial"/>
          <w:color w:val="222222"/>
          <w:sz w:val="20"/>
          <w:szCs w:val="20"/>
          <w:shd w:val="clear" w:color="auto" w:fill="FFFFFF"/>
          <w:lang w:val="en-US"/>
        </w:rPr>
        <w:t> </w:t>
      </w:r>
      <w:r w:rsidRPr="00B243CF">
        <w:rPr>
          <w:rFonts w:ascii="Calibri Light" w:hAnsi="Calibri Light" w:cs="Arial"/>
          <w:color w:val="222222"/>
          <w:sz w:val="20"/>
          <w:szCs w:val="20"/>
          <w:shd w:val="clear" w:color="auto" w:fill="FFFFFF"/>
          <w:lang w:val="en-US"/>
        </w:rPr>
        <w:t>Hungary-based</w:t>
      </w:r>
      <w:r w:rsidRPr="00B243CF">
        <w:rPr>
          <w:rStyle w:val="apple-converted-space"/>
          <w:rFonts w:ascii="Calibri Light" w:hAnsi="Calibri Light" w:cs="Arial"/>
          <w:color w:val="222222"/>
          <w:sz w:val="20"/>
          <w:szCs w:val="20"/>
          <w:shd w:val="clear" w:color="auto" w:fill="FFFFFF"/>
          <w:lang w:val="en-US"/>
        </w:rPr>
        <w:t> </w:t>
      </w:r>
      <w:r w:rsidRPr="00B243CF">
        <w:rPr>
          <w:rFonts w:ascii="Calibri Light" w:hAnsi="Calibri Light" w:cs="Arial"/>
          <w:color w:val="222222"/>
          <w:sz w:val="20"/>
          <w:szCs w:val="20"/>
          <w:shd w:val="clear" w:color="auto" w:fill="FFFFFF"/>
          <w:lang w:val="en-US"/>
        </w:rPr>
        <w:t>international human rights organization that works to secure equality, inclusion and justice for adults and children with intellectual, developmental, cognitive and/or psychosocial disabilities through strategic litigation, advocacy activities, monitoring, research, and capacity building worldwide.</w:t>
      </w:r>
    </w:p>
    <w:p w:rsidR="00D62A4E" w:rsidRPr="00B243CF" w:rsidRDefault="00D62A4E" w:rsidP="00F80D77">
      <w:pPr>
        <w:spacing w:after="0" w:line="240" w:lineRule="auto"/>
        <w:jc w:val="both"/>
        <w:rPr>
          <w:rFonts w:ascii="Calibri Light" w:hAnsi="Calibri Light" w:cs="Arial"/>
          <w:color w:val="222222"/>
          <w:sz w:val="20"/>
          <w:szCs w:val="20"/>
          <w:shd w:val="clear" w:color="auto" w:fill="FFFFFF"/>
          <w:lang w:val="en-US"/>
        </w:rPr>
      </w:pPr>
      <w:r w:rsidRPr="00B243CF">
        <w:rPr>
          <w:rFonts w:ascii="Calibri Light" w:hAnsi="Calibri Light" w:cs="Arial"/>
          <w:color w:val="222222"/>
          <w:sz w:val="20"/>
          <w:szCs w:val="20"/>
          <w:shd w:val="clear" w:color="auto" w:fill="FFFFFF"/>
          <w:lang w:val="en-US"/>
        </w:rPr>
        <w:t xml:space="preserve">The members of </w:t>
      </w:r>
      <w:r w:rsidRPr="00B243CF">
        <w:rPr>
          <w:rFonts w:ascii="Calibri Light" w:hAnsi="Calibri Light" w:cs="Arial"/>
          <w:b/>
          <w:color w:val="222222"/>
          <w:sz w:val="20"/>
          <w:szCs w:val="20"/>
          <w:shd w:val="clear" w:color="auto" w:fill="FFFFFF"/>
          <w:lang w:val="en-US"/>
        </w:rPr>
        <w:t>The City is for All</w:t>
      </w:r>
      <w:r w:rsidRPr="00B243CF">
        <w:rPr>
          <w:rFonts w:ascii="Calibri Light" w:hAnsi="Calibri Light" w:cs="Arial"/>
          <w:color w:val="222222"/>
          <w:sz w:val="20"/>
          <w:szCs w:val="20"/>
          <w:shd w:val="clear" w:color="auto" w:fill="FFFFFF"/>
          <w:lang w:val="en-US"/>
        </w:rPr>
        <w:t xml:space="preserve"> (est. in 2009) are people who are affected by housing poverty (currently or formerly living in homelessness, housed in structures constructed by themselves, living in deprived, unsecure, overcrowded or unhealthy housing, threatened by eviction) and their allies (activists with secure housing), who all work together for housing rights and for an egalitarian and just society. Our group is based on voluntary work and provides an opportunity for people experiencing homelessness and housing poverty to stand up for their dignity and fight for the right to housing.</w:t>
      </w:r>
    </w:p>
    <w:p w:rsidR="00D62A4E" w:rsidRPr="00B243CF" w:rsidRDefault="00D62A4E" w:rsidP="00F80D77">
      <w:pPr>
        <w:spacing w:after="0" w:line="240" w:lineRule="auto"/>
        <w:jc w:val="both"/>
        <w:rPr>
          <w:rFonts w:ascii="Calibri Light" w:hAnsi="Calibri Light" w:cs="Arial"/>
          <w:color w:val="222222"/>
          <w:sz w:val="20"/>
          <w:szCs w:val="20"/>
          <w:shd w:val="clear" w:color="auto" w:fill="FFFFFF"/>
          <w:lang w:val="en-US"/>
        </w:rPr>
      </w:pPr>
      <w:r w:rsidRPr="00B243CF">
        <w:rPr>
          <w:rFonts w:ascii="Calibri Light" w:hAnsi="Calibri Light" w:cs="Arial"/>
          <w:color w:val="222222"/>
          <w:sz w:val="20"/>
          <w:szCs w:val="20"/>
          <w:shd w:val="clear" w:color="auto" w:fill="FFFFFF"/>
          <w:lang w:val="en-US"/>
        </w:rPr>
        <w:t xml:space="preserve">People experiencing homelessness and housing poverty play a leading role at all levels of our organization. The City is for </w:t>
      </w:r>
      <w:proofErr w:type="gramStart"/>
      <w:r w:rsidRPr="00B243CF">
        <w:rPr>
          <w:rFonts w:ascii="Calibri Light" w:hAnsi="Calibri Light" w:cs="Arial"/>
          <w:color w:val="222222"/>
          <w:sz w:val="20"/>
          <w:szCs w:val="20"/>
          <w:shd w:val="clear" w:color="auto" w:fill="FFFFFF"/>
          <w:lang w:val="en-US"/>
        </w:rPr>
        <w:t>All</w:t>
      </w:r>
      <w:proofErr w:type="gramEnd"/>
      <w:r w:rsidRPr="00B243CF">
        <w:rPr>
          <w:rFonts w:ascii="Calibri Light" w:hAnsi="Calibri Light" w:cs="Arial"/>
          <w:color w:val="222222"/>
          <w:sz w:val="20"/>
          <w:szCs w:val="20"/>
          <w:shd w:val="clear" w:color="auto" w:fill="FFFFFF"/>
          <w:lang w:val="en-US"/>
        </w:rPr>
        <w:t xml:space="preserve"> organizes campaigns and actions to defend housing rights, to advocate for the interests of people living in housing poverty and to change the negative social perception of homelessness and poverty. We use a wide array of modes of intervention from internal trainings to radical direct actions. As we fight against all forms of stigmatization and discrimination, it is very important for us to actively cooperate with other marginalized groups.</w:t>
      </w:r>
    </w:p>
    <w:p w:rsidR="00D62A4E" w:rsidRDefault="00D62A4E" w:rsidP="00F80D77">
      <w:pPr>
        <w:spacing w:after="0" w:line="240" w:lineRule="auto"/>
        <w:jc w:val="both"/>
        <w:rPr>
          <w:rFonts w:ascii="Calibri Light" w:hAnsi="Calibri Light" w:cs="Arial"/>
          <w:color w:val="222222"/>
          <w:sz w:val="20"/>
          <w:szCs w:val="20"/>
          <w:shd w:val="clear" w:color="auto" w:fill="FFFFFF"/>
          <w:lang w:val="en-US"/>
        </w:rPr>
      </w:pPr>
    </w:p>
    <w:p w:rsidR="004126B5" w:rsidRDefault="004126B5" w:rsidP="004126B5">
      <w:pPr>
        <w:spacing w:after="0" w:line="240" w:lineRule="auto"/>
        <w:jc w:val="both"/>
        <w:rPr>
          <w:rFonts w:ascii="Calibri Light" w:hAnsi="Calibri Light" w:cs="Arial"/>
          <w:color w:val="222222"/>
          <w:sz w:val="20"/>
          <w:szCs w:val="20"/>
          <w:shd w:val="clear" w:color="auto" w:fill="FFFFFF"/>
          <w:lang w:val="en-US"/>
        </w:rPr>
      </w:pPr>
      <w:r w:rsidRPr="004126B5">
        <w:rPr>
          <w:rFonts w:ascii="Calibri Light" w:hAnsi="Calibri Light" w:cs="Arial"/>
          <w:color w:val="222222"/>
          <w:sz w:val="20"/>
          <w:szCs w:val="20"/>
          <w:shd w:val="clear" w:color="auto" w:fill="FFFFFF"/>
          <w:lang w:val="en-US"/>
        </w:rPr>
        <w:t xml:space="preserve">The </w:t>
      </w:r>
      <w:r w:rsidRPr="004126B5">
        <w:rPr>
          <w:rFonts w:ascii="Calibri Light" w:hAnsi="Calibri Light" w:cs="Arial"/>
          <w:b/>
          <w:color w:val="222222"/>
          <w:sz w:val="20"/>
          <w:szCs w:val="20"/>
          <w:shd w:val="clear" w:color="auto" w:fill="FFFFFF"/>
          <w:lang w:val="en-US"/>
        </w:rPr>
        <w:t>Hungarian Civil Liberties Union</w:t>
      </w:r>
      <w:r w:rsidRPr="004126B5">
        <w:rPr>
          <w:rFonts w:ascii="Calibri Light" w:hAnsi="Calibri Light" w:cs="Arial"/>
          <w:color w:val="222222"/>
          <w:sz w:val="20"/>
          <w:szCs w:val="20"/>
          <w:shd w:val="clear" w:color="auto" w:fill="FFFFFF"/>
          <w:lang w:val="en-US"/>
        </w:rPr>
        <w:t xml:space="preserve"> (HCLU) is a non-profit human rights watchdog NGO establishe</w:t>
      </w:r>
      <w:r>
        <w:rPr>
          <w:rFonts w:ascii="Calibri Light" w:hAnsi="Calibri Light" w:cs="Arial"/>
          <w:color w:val="222222"/>
          <w:sz w:val="20"/>
          <w:szCs w:val="20"/>
          <w:shd w:val="clear" w:color="auto" w:fill="FFFFFF"/>
          <w:lang w:val="en-US"/>
        </w:rPr>
        <w:t xml:space="preserve">d in Budapest, Hungary in 1994. </w:t>
      </w:r>
      <w:r w:rsidRPr="004126B5">
        <w:rPr>
          <w:rFonts w:ascii="Calibri Light" w:hAnsi="Calibri Light" w:cs="Arial"/>
          <w:color w:val="222222"/>
          <w:sz w:val="20"/>
          <w:szCs w:val="20"/>
          <w:shd w:val="clear" w:color="auto" w:fill="FFFFFF"/>
          <w:lang w:val="en-US"/>
        </w:rPr>
        <w:t>The HCLU’s aim is to promote the case of fundamental rights and principles laid down by the Constitution of Hungary and by international conventions. Generally, it has the goal of building and strengthening civil society and the rule of law in Hungary and in the CEE region.</w:t>
      </w:r>
    </w:p>
    <w:p w:rsidR="004126B5" w:rsidRPr="00B243CF" w:rsidRDefault="004126B5" w:rsidP="00F80D77">
      <w:pPr>
        <w:spacing w:after="0" w:line="240" w:lineRule="auto"/>
        <w:jc w:val="both"/>
        <w:rPr>
          <w:rFonts w:ascii="Calibri Light" w:hAnsi="Calibri Light" w:cs="Arial"/>
          <w:color w:val="222222"/>
          <w:sz w:val="20"/>
          <w:szCs w:val="20"/>
          <w:shd w:val="clear" w:color="auto" w:fill="FFFFFF"/>
          <w:lang w:val="en-US"/>
        </w:rPr>
      </w:pPr>
    </w:p>
    <w:p w:rsidR="00D62A4E" w:rsidRPr="00B243CF" w:rsidRDefault="00D62A4E" w:rsidP="00F80D77">
      <w:pPr>
        <w:spacing w:after="0" w:line="240" w:lineRule="auto"/>
        <w:jc w:val="both"/>
        <w:rPr>
          <w:rFonts w:ascii="Calibri Light" w:hAnsi="Calibri Light" w:cs="Arial"/>
          <w:color w:val="222222"/>
          <w:sz w:val="20"/>
          <w:szCs w:val="20"/>
          <w:shd w:val="clear" w:color="auto" w:fill="FFFFFF"/>
          <w:lang w:val="en-US"/>
        </w:rPr>
      </w:pPr>
      <w:r w:rsidRPr="00B243CF">
        <w:rPr>
          <w:rFonts w:ascii="Calibri Light" w:hAnsi="Calibri Light" w:cs="Arial"/>
          <w:color w:val="222222"/>
          <w:sz w:val="20"/>
          <w:szCs w:val="20"/>
          <w:shd w:val="clear" w:color="auto" w:fill="FFFFFF"/>
          <w:lang w:val="en-US"/>
        </w:rPr>
        <w:t xml:space="preserve">The </w:t>
      </w:r>
      <w:r w:rsidRPr="00B243CF">
        <w:rPr>
          <w:rFonts w:ascii="Calibri Light" w:hAnsi="Calibri Light" w:cs="Arial"/>
          <w:b/>
          <w:color w:val="222222"/>
          <w:sz w:val="20"/>
          <w:szCs w:val="20"/>
          <w:shd w:val="clear" w:color="auto" w:fill="FFFFFF"/>
          <w:lang w:val="en-US"/>
        </w:rPr>
        <w:t xml:space="preserve">Hungarian Helsinki Committee </w:t>
      </w:r>
      <w:r w:rsidRPr="00B41AB4">
        <w:rPr>
          <w:rFonts w:ascii="Calibri Light" w:hAnsi="Calibri Light" w:cs="Arial"/>
          <w:color w:val="222222"/>
          <w:sz w:val="20"/>
          <w:szCs w:val="20"/>
          <w:shd w:val="clear" w:color="auto" w:fill="FFFFFF"/>
          <w:lang w:val="en-US"/>
        </w:rPr>
        <w:t>(HHC)</w:t>
      </w:r>
      <w:r w:rsidRPr="00B243CF">
        <w:rPr>
          <w:rFonts w:ascii="Calibri Light" w:hAnsi="Calibri Light" w:cs="Arial"/>
          <w:color w:val="222222"/>
          <w:sz w:val="20"/>
          <w:szCs w:val="20"/>
          <w:shd w:val="clear" w:color="auto" w:fill="FFFFFF"/>
          <w:lang w:val="en-US"/>
        </w:rPr>
        <w:t xml:space="preserve"> is a human rights NGO founded in 1989 in Hungary. The HHC monitors the enforcement in Hungary of human rights enshrined in international human rights instruments, provides legal </w:t>
      </w:r>
      <w:proofErr w:type="spellStart"/>
      <w:r w:rsidRPr="00B243CF">
        <w:rPr>
          <w:rFonts w:ascii="Calibri Light" w:hAnsi="Calibri Light" w:cs="Arial"/>
          <w:color w:val="222222"/>
          <w:sz w:val="20"/>
          <w:szCs w:val="20"/>
          <w:shd w:val="clear" w:color="auto" w:fill="FFFFFF"/>
          <w:lang w:val="en-US"/>
        </w:rPr>
        <w:t>defence</w:t>
      </w:r>
      <w:proofErr w:type="spellEnd"/>
      <w:r w:rsidRPr="00B243CF">
        <w:rPr>
          <w:rFonts w:ascii="Calibri Light" w:hAnsi="Calibri Light" w:cs="Arial"/>
          <w:color w:val="222222"/>
          <w:sz w:val="20"/>
          <w:szCs w:val="20"/>
          <w:shd w:val="clear" w:color="auto" w:fill="FFFFFF"/>
          <w:lang w:val="en-US"/>
        </w:rPr>
        <w:t xml:space="preserve"> to victims of human rights abuses by state authorities and informs the public about rights violations. The HHC’s main areas of activities are </w:t>
      </w:r>
      <w:proofErr w:type="spellStart"/>
      <w:r w:rsidRPr="00B243CF">
        <w:rPr>
          <w:rFonts w:ascii="Calibri Light" w:hAnsi="Calibri Light" w:cs="Arial"/>
          <w:color w:val="222222"/>
          <w:sz w:val="20"/>
          <w:szCs w:val="20"/>
          <w:shd w:val="clear" w:color="auto" w:fill="FFFFFF"/>
          <w:lang w:val="en-US"/>
        </w:rPr>
        <w:t>centred</w:t>
      </w:r>
      <w:proofErr w:type="spellEnd"/>
      <w:r w:rsidRPr="00B243CF">
        <w:rPr>
          <w:rFonts w:ascii="Calibri Light" w:hAnsi="Calibri Light" w:cs="Arial"/>
          <w:color w:val="222222"/>
          <w:sz w:val="20"/>
          <w:szCs w:val="20"/>
          <w:shd w:val="clear" w:color="auto" w:fill="FFFFFF"/>
          <w:lang w:val="en-US"/>
        </w:rPr>
        <w:t xml:space="preserve"> on protecting the rights of asylum seekers and foreigners in need of international protection, as well as monitoring the human rights performance of law enforcement agencies and the judicial system. It particularly focuses on the conditions of detention, the effective enforcement of the right to </w:t>
      </w:r>
      <w:proofErr w:type="spellStart"/>
      <w:r w:rsidRPr="00B243CF">
        <w:rPr>
          <w:rFonts w:ascii="Calibri Light" w:hAnsi="Calibri Light" w:cs="Arial"/>
          <w:color w:val="222222"/>
          <w:sz w:val="20"/>
          <w:szCs w:val="20"/>
          <w:shd w:val="clear" w:color="auto" w:fill="FFFFFF"/>
          <w:lang w:val="en-US"/>
        </w:rPr>
        <w:t>defence</w:t>
      </w:r>
      <w:proofErr w:type="spellEnd"/>
      <w:r w:rsidRPr="00B243CF">
        <w:rPr>
          <w:rFonts w:ascii="Calibri Light" w:hAnsi="Calibri Light" w:cs="Arial"/>
          <w:color w:val="222222"/>
          <w:sz w:val="20"/>
          <w:szCs w:val="20"/>
          <w:shd w:val="clear" w:color="auto" w:fill="FFFFFF"/>
          <w:lang w:val="en-US"/>
        </w:rPr>
        <w:t xml:space="preserve"> and equality before the law.</w:t>
      </w:r>
    </w:p>
    <w:p w:rsidR="00D62A4E" w:rsidRPr="00B243CF" w:rsidRDefault="00D62A4E" w:rsidP="00F80D77">
      <w:pPr>
        <w:spacing w:after="0" w:line="240" w:lineRule="auto"/>
        <w:jc w:val="both"/>
        <w:rPr>
          <w:rFonts w:ascii="Calibri Light" w:hAnsi="Calibri Light" w:cs="Arial"/>
          <w:color w:val="222222"/>
          <w:sz w:val="20"/>
          <w:szCs w:val="20"/>
          <w:shd w:val="clear" w:color="auto" w:fill="FFFFFF"/>
          <w:lang w:val="en-US"/>
        </w:rPr>
      </w:pPr>
    </w:p>
    <w:p w:rsidR="00D62A4E" w:rsidRPr="00B243CF" w:rsidRDefault="00D62A4E" w:rsidP="00F80D77">
      <w:pPr>
        <w:spacing w:after="0" w:line="240" w:lineRule="auto"/>
        <w:jc w:val="both"/>
        <w:rPr>
          <w:rFonts w:ascii="Calibri Light" w:hAnsi="Calibri Light"/>
          <w:color w:val="000000"/>
          <w:sz w:val="20"/>
          <w:szCs w:val="20"/>
          <w:shd w:val="clear" w:color="auto" w:fill="FFFFFF"/>
          <w:lang w:val="en-US"/>
        </w:rPr>
      </w:pPr>
      <w:r w:rsidRPr="00AB3082">
        <w:rPr>
          <w:rFonts w:ascii="Calibri Light" w:hAnsi="Calibri Light"/>
          <w:color w:val="222222"/>
          <w:sz w:val="20"/>
          <w:szCs w:val="20"/>
          <w:shd w:val="clear" w:color="auto" w:fill="FFFFFF"/>
          <w:lang w:val="en-US"/>
        </w:rPr>
        <w:t xml:space="preserve">The </w:t>
      </w:r>
      <w:r w:rsidRPr="00AB3082">
        <w:rPr>
          <w:rFonts w:ascii="Calibri Light" w:hAnsi="Calibri Light"/>
          <w:b/>
          <w:color w:val="222222"/>
          <w:sz w:val="20"/>
          <w:szCs w:val="20"/>
          <w:shd w:val="clear" w:color="auto" w:fill="FFFFFF"/>
          <w:lang w:val="en-US"/>
        </w:rPr>
        <w:t>NGO Coalition on the Rights of the Child</w:t>
      </w:r>
      <w:r w:rsidRPr="00AB3082">
        <w:rPr>
          <w:rFonts w:ascii="Calibri Light" w:hAnsi="Calibri Light"/>
          <w:color w:val="222222"/>
          <w:sz w:val="20"/>
          <w:szCs w:val="20"/>
          <w:shd w:val="clear" w:color="auto" w:fill="FFFFFF"/>
          <w:lang w:val="en-US"/>
        </w:rPr>
        <w:t xml:space="preserve"> was founded in February 2015 on the initiative of the UNICEF National Committee for Hungary. One of the aims was to create a common forum with the participation of experts, not only in order to communicate but to help the reports to the UN Committee on the Rights of the Child and to other relevant UN Committees for Human Rights represent a more </w:t>
      </w:r>
      <w:proofErr w:type="spellStart"/>
      <w:r w:rsidRPr="00AB3082">
        <w:rPr>
          <w:rFonts w:ascii="Calibri Light" w:hAnsi="Calibri Light"/>
          <w:color w:val="222222"/>
          <w:sz w:val="20"/>
          <w:szCs w:val="20"/>
          <w:shd w:val="clear" w:color="auto" w:fill="FFFFFF"/>
          <w:lang w:val="en-US"/>
        </w:rPr>
        <w:t>harmonised</w:t>
      </w:r>
      <w:proofErr w:type="spellEnd"/>
      <w:r w:rsidRPr="00AB3082">
        <w:rPr>
          <w:rFonts w:ascii="Calibri Light" w:hAnsi="Calibri Light"/>
          <w:color w:val="222222"/>
          <w:sz w:val="20"/>
          <w:szCs w:val="20"/>
          <w:shd w:val="clear" w:color="auto" w:fill="FFFFFF"/>
          <w:lang w:val="en-US"/>
        </w:rPr>
        <w:t xml:space="preserve"> civilian position; furthermore, to make the national and international advocacy for children’s rights more efficient. Besides 25 NGOs and 12 individual experts, observers, as the Deputy Commissioner for the Rights of National Minorities, the Office of the Commissioner for Fundamental Rights and UNHCR Hungary have supported our work.</w:t>
      </w:r>
    </w:p>
    <w:p w:rsidR="00D62A4E" w:rsidRPr="00B243CF" w:rsidRDefault="00D62A4E" w:rsidP="00F80D77">
      <w:pPr>
        <w:shd w:val="clear" w:color="auto" w:fill="FFFFFF"/>
        <w:spacing w:before="100" w:beforeAutospacing="1" w:after="100" w:afterAutospacing="1" w:line="240" w:lineRule="auto"/>
        <w:jc w:val="both"/>
        <w:outlineLvl w:val="0"/>
        <w:rPr>
          <w:rFonts w:ascii="Calibri Light" w:eastAsia="Times New Roman" w:hAnsi="Calibri Light" w:cs="Arial"/>
          <w:color w:val="222222"/>
          <w:sz w:val="20"/>
          <w:szCs w:val="20"/>
          <w:lang w:val="en-US" w:eastAsia="hu-HU"/>
        </w:rPr>
      </w:pPr>
      <w:r w:rsidRPr="00B243CF">
        <w:rPr>
          <w:rFonts w:ascii="Calibri Light" w:eastAsia="Times New Roman" w:hAnsi="Calibri Light" w:cs="Arial"/>
          <w:color w:val="222222"/>
          <w:kern w:val="36"/>
          <w:sz w:val="20"/>
          <w:szCs w:val="20"/>
          <w:lang w:val="en-US" w:eastAsia="hu-HU"/>
        </w:rPr>
        <w:t xml:space="preserve">The </w:t>
      </w:r>
      <w:r w:rsidRPr="00670254">
        <w:rPr>
          <w:rFonts w:ascii="Calibri Light" w:eastAsia="Times New Roman" w:hAnsi="Calibri Light" w:cs="Arial"/>
          <w:b/>
          <w:color w:val="222222"/>
          <w:kern w:val="36"/>
          <w:sz w:val="20"/>
          <w:szCs w:val="20"/>
          <w:lang w:val="en-US" w:eastAsia="hu-HU"/>
        </w:rPr>
        <w:t>Chances for Children Association</w:t>
      </w:r>
      <w:r w:rsidRPr="00670254">
        <w:rPr>
          <w:rFonts w:ascii="Calibri Light" w:eastAsia="Times New Roman" w:hAnsi="Calibri Light" w:cs="Arial"/>
          <w:color w:val="222222"/>
          <w:kern w:val="36"/>
          <w:sz w:val="20"/>
          <w:szCs w:val="20"/>
          <w:lang w:val="en-US" w:eastAsia="hu-HU"/>
        </w:rPr>
        <w:t xml:space="preserve"> (</w:t>
      </w:r>
      <w:proofErr w:type="spellStart"/>
      <w:r w:rsidRPr="00670254">
        <w:rPr>
          <w:rFonts w:ascii="Calibri Light" w:eastAsia="Times New Roman" w:hAnsi="Calibri Light" w:cs="Arial"/>
          <w:color w:val="222222"/>
          <w:kern w:val="36"/>
          <w:sz w:val="20"/>
          <w:szCs w:val="20"/>
          <w:lang w:val="en-US" w:eastAsia="hu-HU"/>
        </w:rPr>
        <w:t>Gyerekesély</w:t>
      </w:r>
      <w:proofErr w:type="spellEnd"/>
      <w:r w:rsidRPr="00670254">
        <w:rPr>
          <w:rFonts w:ascii="Calibri Light" w:eastAsia="Times New Roman" w:hAnsi="Calibri Light" w:cs="Arial"/>
          <w:color w:val="222222"/>
          <w:kern w:val="36"/>
          <w:sz w:val="20"/>
          <w:szCs w:val="20"/>
          <w:lang w:val="en-US" w:eastAsia="hu-HU"/>
        </w:rPr>
        <w:t xml:space="preserve"> </w:t>
      </w:r>
      <w:proofErr w:type="spellStart"/>
      <w:r w:rsidRPr="00670254">
        <w:rPr>
          <w:rFonts w:ascii="Calibri Light" w:eastAsia="Times New Roman" w:hAnsi="Calibri Light" w:cs="Arial"/>
          <w:color w:val="222222"/>
          <w:kern w:val="36"/>
          <w:sz w:val="20"/>
          <w:szCs w:val="20"/>
          <w:lang w:val="en-US" w:eastAsia="hu-HU"/>
        </w:rPr>
        <w:t>Egyesület</w:t>
      </w:r>
      <w:proofErr w:type="spellEnd"/>
      <w:r w:rsidRPr="00670254">
        <w:rPr>
          <w:rFonts w:ascii="Calibri Light" w:eastAsia="Times New Roman" w:hAnsi="Calibri Light" w:cs="Arial"/>
          <w:color w:val="222222"/>
          <w:kern w:val="36"/>
          <w:sz w:val="20"/>
          <w:szCs w:val="20"/>
          <w:lang w:val="en-US" w:eastAsia="hu-HU"/>
        </w:rPr>
        <w:t xml:space="preserve"> - GYERE)</w:t>
      </w:r>
      <w:r w:rsidRPr="00670254">
        <w:rPr>
          <w:rFonts w:ascii="Calibri Light" w:eastAsia="Times New Roman" w:hAnsi="Calibri Light" w:cs="Arial"/>
          <w:color w:val="222222"/>
          <w:sz w:val="20"/>
          <w:szCs w:val="20"/>
          <w:lang w:val="en-US" w:eastAsia="hu-HU"/>
        </w:rPr>
        <w:t xml:space="preserve"> has been established in 2010 with the main aim of improving children's life opportunities and to hinder the reproduction of child poverty. The founders of the association are previous staff members of the Program Office to Combat Child Poverty in the Hungarian Academy of Sciences. </w:t>
      </w:r>
    </w:p>
    <w:p w:rsidR="00D62A4E" w:rsidRDefault="00D62A4E" w:rsidP="00F80D77">
      <w:pPr>
        <w:shd w:val="clear" w:color="auto" w:fill="FFFFFF"/>
        <w:spacing w:before="100" w:beforeAutospacing="1" w:after="100" w:afterAutospacing="1" w:line="240" w:lineRule="auto"/>
        <w:jc w:val="both"/>
        <w:outlineLvl w:val="0"/>
        <w:rPr>
          <w:rFonts w:ascii="Calibri Light" w:hAnsi="Calibri Light" w:cs="Arial"/>
          <w:color w:val="222222"/>
          <w:sz w:val="20"/>
          <w:szCs w:val="20"/>
          <w:shd w:val="clear" w:color="auto" w:fill="FFFFFF"/>
          <w:lang w:val="en-US"/>
        </w:rPr>
      </w:pPr>
      <w:r w:rsidRPr="00B243CF">
        <w:rPr>
          <w:rFonts w:ascii="Calibri Light" w:hAnsi="Calibri Light" w:cs="Arial"/>
          <w:color w:val="222222"/>
          <w:sz w:val="20"/>
          <w:szCs w:val="20"/>
          <w:shd w:val="clear" w:color="auto" w:fill="FFFFFF"/>
          <w:lang w:val="en-US"/>
        </w:rPr>
        <w:t xml:space="preserve">The </w:t>
      </w:r>
      <w:r w:rsidRPr="00B243CF">
        <w:rPr>
          <w:rFonts w:ascii="Calibri Light" w:hAnsi="Calibri Light" w:cs="Arial"/>
          <w:b/>
          <w:color w:val="222222"/>
          <w:sz w:val="20"/>
          <w:szCs w:val="20"/>
          <w:shd w:val="clear" w:color="auto" w:fill="FFFFFF"/>
          <w:lang w:val="en-US"/>
        </w:rPr>
        <w:t>European Roma Rights Centre</w:t>
      </w:r>
      <w:r w:rsidRPr="00B243CF">
        <w:rPr>
          <w:rFonts w:ascii="Calibri Light" w:hAnsi="Calibri Light" w:cs="Arial"/>
          <w:color w:val="222222"/>
          <w:sz w:val="20"/>
          <w:szCs w:val="20"/>
          <w:shd w:val="clear" w:color="auto" w:fill="FFFFFF"/>
          <w:lang w:val="en-US"/>
        </w:rPr>
        <w:t xml:space="preserve"> (ERRC) is an international public interest law </w:t>
      </w:r>
      <w:proofErr w:type="spellStart"/>
      <w:r w:rsidRPr="00B243CF">
        <w:rPr>
          <w:rFonts w:ascii="Calibri Light" w:hAnsi="Calibri Light" w:cs="Arial"/>
          <w:color w:val="222222"/>
          <w:sz w:val="20"/>
          <w:szCs w:val="20"/>
          <w:shd w:val="clear" w:color="auto" w:fill="FFFFFF"/>
          <w:lang w:val="en-US"/>
        </w:rPr>
        <w:t>organisation</w:t>
      </w:r>
      <w:proofErr w:type="spellEnd"/>
      <w:r w:rsidRPr="00B243CF">
        <w:rPr>
          <w:rFonts w:ascii="Calibri Light" w:hAnsi="Calibri Light" w:cs="Arial"/>
          <w:color w:val="222222"/>
          <w:sz w:val="20"/>
          <w:szCs w:val="20"/>
          <w:shd w:val="clear" w:color="auto" w:fill="FFFFFF"/>
          <w:lang w:val="en-US"/>
        </w:rPr>
        <w:t xml:space="preserve"> working to combat anti-Romani racism and human rights abuse of Roma through strategic litigation, research and policy development, advocacy and human rights education. Since its establishment in 1996, the ERRC has </w:t>
      </w:r>
      <w:proofErr w:type="spellStart"/>
      <w:r w:rsidRPr="00B243CF">
        <w:rPr>
          <w:rFonts w:ascii="Calibri Light" w:hAnsi="Calibri Light" w:cs="Arial"/>
          <w:color w:val="222222"/>
          <w:sz w:val="20"/>
          <w:szCs w:val="20"/>
          <w:shd w:val="clear" w:color="auto" w:fill="FFFFFF"/>
          <w:lang w:val="en-US"/>
        </w:rPr>
        <w:t>endeavoured</w:t>
      </w:r>
      <w:proofErr w:type="spellEnd"/>
      <w:r w:rsidRPr="00B243CF">
        <w:rPr>
          <w:rFonts w:ascii="Calibri Light" w:hAnsi="Calibri Light" w:cs="Arial"/>
          <w:color w:val="222222"/>
          <w:sz w:val="20"/>
          <w:szCs w:val="20"/>
          <w:shd w:val="clear" w:color="auto" w:fill="FFFFFF"/>
          <w:lang w:val="en-US"/>
        </w:rPr>
        <w:t xml:space="preserve"> to provide Roma with the tools necessary to combat discrimination and achieve equal access to justice, education, housing, health care and public services. The ERRC has consultative status with the Council of Europe, as well as with the Economic and Social Council of the United Nations.</w:t>
      </w:r>
    </w:p>
    <w:p w:rsidR="00B41AB4" w:rsidRPr="00B41AB4" w:rsidRDefault="00B41AB4" w:rsidP="00F80D77">
      <w:pPr>
        <w:shd w:val="clear" w:color="auto" w:fill="FFFFFF"/>
        <w:spacing w:before="100" w:beforeAutospacing="1" w:after="100" w:afterAutospacing="1" w:line="240" w:lineRule="auto"/>
        <w:jc w:val="both"/>
        <w:outlineLvl w:val="0"/>
        <w:rPr>
          <w:rFonts w:ascii="Calibri Light" w:eastAsia="Times New Roman" w:hAnsi="Calibri Light" w:cs="Arial"/>
          <w:bCs/>
          <w:kern w:val="36"/>
          <w:sz w:val="20"/>
          <w:szCs w:val="20"/>
          <w:lang w:val="en-US" w:eastAsia="hu-HU"/>
        </w:rPr>
      </w:pPr>
      <w:r w:rsidRPr="00B41AB4">
        <w:rPr>
          <w:rFonts w:ascii="Calibri Light" w:eastAsia="Times New Roman" w:hAnsi="Calibri Light" w:cs="Arial"/>
          <w:bCs/>
          <w:kern w:val="36"/>
          <w:sz w:val="20"/>
          <w:szCs w:val="20"/>
          <w:lang w:val="en-US" w:eastAsia="hu-HU"/>
        </w:rPr>
        <w:t xml:space="preserve">The </w:t>
      </w:r>
      <w:r w:rsidRPr="00B41AB4">
        <w:rPr>
          <w:rFonts w:ascii="Calibri Light" w:eastAsia="Times New Roman" w:hAnsi="Calibri Light" w:cs="Arial"/>
          <w:b/>
          <w:bCs/>
          <w:kern w:val="36"/>
          <w:sz w:val="20"/>
          <w:szCs w:val="20"/>
          <w:lang w:val="en-US" w:eastAsia="hu-HU"/>
        </w:rPr>
        <w:t>Chance for Children Foundation</w:t>
      </w:r>
      <w:r w:rsidRPr="00B41AB4">
        <w:rPr>
          <w:rFonts w:ascii="Calibri Light" w:eastAsia="Times New Roman" w:hAnsi="Calibri Light" w:cs="Arial"/>
          <w:bCs/>
          <w:kern w:val="36"/>
          <w:sz w:val="20"/>
          <w:szCs w:val="20"/>
          <w:lang w:val="en-US" w:eastAsia="hu-HU"/>
        </w:rPr>
        <w:t xml:space="preserve"> (“CFCF”) is a Budapest-based Roma NGO founded with the express purpose of fighting structural discrimination against Roma and impoverished children in education through collective legal action coupled with community </w:t>
      </w:r>
      <w:proofErr w:type="spellStart"/>
      <w:r w:rsidRPr="00B41AB4">
        <w:rPr>
          <w:rFonts w:ascii="Calibri Light" w:eastAsia="Times New Roman" w:hAnsi="Calibri Light" w:cs="Arial"/>
          <w:bCs/>
          <w:kern w:val="36"/>
          <w:sz w:val="20"/>
          <w:szCs w:val="20"/>
          <w:lang w:val="en-US" w:eastAsia="hu-HU"/>
        </w:rPr>
        <w:t>organising</w:t>
      </w:r>
      <w:proofErr w:type="spellEnd"/>
      <w:r w:rsidRPr="00B41AB4">
        <w:rPr>
          <w:rFonts w:ascii="Calibri Light" w:eastAsia="Times New Roman" w:hAnsi="Calibri Light" w:cs="Arial"/>
          <w:bCs/>
          <w:kern w:val="36"/>
          <w:sz w:val="20"/>
          <w:szCs w:val="20"/>
          <w:lang w:val="en-US" w:eastAsia="hu-HU"/>
        </w:rPr>
        <w:t xml:space="preserve"> and local action.</w:t>
      </w:r>
    </w:p>
    <w:p w:rsidR="00D62A4E" w:rsidRPr="00B243CF" w:rsidRDefault="00D62A4E" w:rsidP="00F80D77">
      <w:pPr>
        <w:shd w:val="clear" w:color="auto" w:fill="FFFFFF"/>
        <w:spacing w:before="100" w:beforeAutospacing="1" w:after="100" w:afterAutospacing="1" w:line="240" w:lineRule="auto"/>
        <w:jc w:val="both"/>
        <w:outlineLvl w:val="0"/>
        <w:rPr>
          <w:rFonts w:ascii="Calibri Light" w:eastAsia="Times New Roman" w:hAnsi="Calibri Light" w:cs="Arial"/>
          <w:bCs/>
          <w:kern w:val="36"/>
          <w:sz w:val="20"/>
          <w:szCs w:val="20"/>
          <w:lang w:val="en-US" w:eastAsia="hu-HU"/>
        </w:rPr>
      </w:pPr>
      <w:r w:rsidRPr="00B243CF">
        <w:rPr>
          <w:rFonts w:ascii="Calibri Light" w:eastAsia="Times New Roman" w:hAnsi="Calibri Light" w:cs="Arial"/>
          <w:b/>
          <w:bCs/>
          <w:kern w:val="36"/>
          <w:sz w:val="20"/>
          <w:szCs w:val="20"/>
          <w:lang w:val="en-US" w:eastAsia="hu-HU"/>
        </w:rPr>
        <w:lastRenderedPageBreak/>
        <w:t>The Hungarian Association of the Deaf and Hard of Hearing</w:t>
      </w:r>
      <w:r w:rsidRPr="00B243CF">
        <w:rPr>
          <w:rFonts w:ascii="Calibri Light" w:eastAsia="Times New Roman" w:hAnsi="Calibri Light" w:cs="Arial"/>
          <w:bCs/>
          <w:kern w:val="36"/>
          <w:sz w:val="20"/>
          <w:szCs w:val="20"/>
          <w:lang w:val="en-US" w:eastAsia="hu-HU"/>
        </w:rPr>
        <w:t xml:space="preserve"> (SINOSZ): is a 107-year-old, non-profit, public benefit </w:t>
      </w:r>
      <w:proofErr w:type="spellStart"/>
      <w:r w:rsidRPr="00B243CF">
        <w:rPr>
          <w:rFonts w:ascii="Calibri Light" w:eastAsia="Times New Roman" w:hAnsi="Calibri Light" w:cs="Arial"/>
          <w:bCs/>
          <w:kern w:val="36"/>
          <w:sz w:val="20"/>
          <w:szCs w:val="20"/>
          <w:lang w:val="en-US" w:eastAsia="hu-HU"/>
        </w:rPr>
        <w:t>organisation</w:t>
      </w:r>
      <w:proofErr w:type="spellEnd"/>
      <w:r w:rsidRPr="00B243CF">
        <w:rPr>
          <w:rFonts w:ascii="Calibri Light" w:eastAsia="Times New Roman" w:hAnsi="Calibri Light" w:cs="Arial"/>
          <w:bCs/>
          <w:kern w:val="36"/>
          <w:sz w:val="20"/>
          <w:szCs w:val="20"/>
          <w:lang w:val="en-US" w:eastAsia="hu-HU"/>
        </w:rPr>
        <w:t xml:space="preserve"> supporting the deaf and hard-of-hearing individuals by helping their social inclusion, contributing to their personal development and promoting opportunities for them to succeed and prosper. We provide help for the deaf and hard-of-hearing persons in order to allow them unhindered access to information, as well as facilitate their employment and foster their ability to meet their own, individual goals and ambitions.</w:t>
      </w:r>
    </w:p>
    <w:p w:rsidR="00D62A4E" w:rsidRPr="00B243CF" w:rsidRDefault="00D62A4E" w:rsidP="00F80D77">
      <w:pPr>
        <w:shd w:val="clear" w:color="auto" w:fill="FFFFFF"/>
        <w:spacing w:before="100" w:beforeAutospacing="1" w:after="100" w:afterAutospacing="1" w:line="240" w:lineRule="auto"/>
        <w:jc w:val="both"/>
        <w:outlineLvl w:val="0"/>
        <w:rPr>
          <w:rFonts w:ascii="Calibri Light" w:eastAsia="Times New Roman" w:hAnsi="Calibri Light" w:cs="Arial"/>
          <w:bCs/>
          <w:kern w:val="36"/>
          <w:sz w:val="20"/>
          <w:szCs w:val="20"/>
          <w:lang w:val="en-US" w:eastAsia="hu-HU"/>
        </w:rPr>
      </w:pPr>
      <w:r w:rsidRPr="00B243CF">
        <w:rPr>
          <w:rFonts w:ascii="Calibri Light" w:eastAsia="Times New Roman" w:hAnsi="Calibri Light" w:cs="Arial"/>
          <w:b/>
          <w:bCs/>
          <w:kern w:val="36"/>
          <w:sz w:val="20"/>
          <w:szCs w:val="20"/>
          <w:lang w:val="en-US" w:eastAsia="hu-HU"/>
        </w:rPr>
        <w:t>SOS Children's Villages Hungary</w:t>
      </w:r>
      <w:r w:rsidRPr="00B243CF">
        <w:rPr>
          <w:rFonts w:ascii="Calibri Light" w:eastAsia="Times New Roman" w:hAnsi="Calibri Light" w:cs="Arial"/>
          <w:bCs/>
          <w:kern w:val="36"/>
          <w:sz w:val="20"/>
          <w:szCs w:val="20"/>
          <w:lang w:val="en-US" w:eastAsia="hu-HU"/>
        </w:rPr>
        <w:t xml:space="preserve"> is an independent non-governmental organization providing support and care for children who have lost, or at risk of losing parental care. We also work with families in precarious situation. We operate our services</w:t>
      </w:r>
      <w:r w:rsidR="00056B92">
        <w:rPr>
          <w:rFonts w:ascii="Calibri Light" w:eastAsia="Times New Roman" w:hAnsi="Calibri Light" w:cs="Arial"/>
          <w:bCs/>
          <w:kern w:val="36"/>
          <w:sz w:val="20"/>
          <w:szCs w:val="20"/>
          <w:lang w:val="en-US" w:eastAsia="hu-HU"/>
        </w:rPr>
        <w:t xml:space="preserve"> through foster care networks, </w:t>
      </w:r>
      <w:r w:rsidRPr="00B243CF">
        <w:rPr>
          <w:rFonts w:ascii="Calibri Light" w:eastAsia="Times New Roman" w:hAnsi="Calibri Light" w:cs="Arial"/>
          <w:bCs/>
          <w:kern w:val="36"/>
          <w:sz w:val="20"/>
          <w:szCs w:val="20"/>
          <w:lang w:val="en-US" w:eastAsia="hu-HU"/>
        </w:rPr>
        <w:t>youth facilities and a temporary home for children. We provide care for app. 400 children in Hungary. SOS Children's Villages Hungary is a member association of SOS Children's Villages International.</w:t>
      </w:r>
    </w:p>
    <w:p w:rsidR="00D62A4E" w:rsidRPr="00B243CF" w:rsidRDefault="00D62A4E" w:rsidP="00F80D77">
      <w:pPr>
        <w:shd w:val="clear" w:color="auto" w:fill="FFFFFF"/>
        <w:spacing w:before="100" w:beforeAutospacing="1" w:after="100" w:afterAutospacing="1" w:line="240" w:lineRule="auto"/>
        <w:jc w:val="both"/>
        <w:outlineLvl w:val="0"/>
        <w:rPr>
          <w:rFonts w:ascii="Calibri Light" w:eastAsia="Times New Roman" w:hAnsi="Calibri Light" w:cs="Arial"/>
          <w:bCs/>
          <w:kern w:val="36"/>
          <w:sz w:val="20"/>
          <w:szCs w:val="20"/>
          <w:lang w:val="en-US" w:eastAsia="hu-HU"/>
        </w:rPr>
      </w:pPr>
      <w:r w:rsidRPr="00B243CF">
        <w:rPr>
          <w:rFonts w:ascii="Calibri Light" w:eastAsia="Times New Roman" w:hAnsi="Calibri Light" w:cs="Arial"/>
          <w:bCs/>
          <w:kern w:val="36"/>
          <w:sz w:val="20"/>
          <w:szCs w:val="20"/>
          <w:lang w:val="en-US" w:eastAsia="hu-HU"/>
        </w:rPr>
        <w:t xml:space="preserve">The </w:t>
      </w:r>
      <w:proofErr w:type="spellStart"/>
      <w:r w:rsidRPr="00B243CF">
        <w:rPr>
          <w:rFonts w:ascii="Calibri Light" w:eastAsia="Times New Roman" w:hAnsi="Calibri Light" w:cs="Arial"/>
          <w:b/>
          <w:bCs/>
          <w:kern w:val="36"/>
          <w:sz w:val="20"/>
          <w:szCs w:val="20"/>
          <w:lang w:val="en-US" w:eastAsia="hu-HU"/>
        </w:rPr>
        <w:t>Kék</w:t>
      </w:r>
      <w:proofErr w:type="spellEnd"/>
      <w:r w:rsidRPr="00B243CF">
        <w:rPr>
          <w:rFonts w:ascii="Calibri Light" w:eastAsia="Times New Roman" w:hAnsi="Calibri Light" w:cs="Arial"/>
          <w:b/>
          <w:bCs/>
          <w:kern w:val="36"/>
          <w:sz w:val="20"/>
          <w:szCs w:val="20"/>
          <w:lang w:val="en-US" w:eastAsia="hu-HU"/>
        </w:rPr>
        <w:t xml:space="preserve"> </w:t>
      </w:r>
      <w:proofErr w:type="spellStart"/>
      <w:r w:rsidRPr="00B243CF">
        <w:rPr>
          <w:rFonts w:ascii="Calibri Light" w:eastAsia="Times New Roman" w:hAnsi="Calibri Light" w:cs="Arial"/>
          <w:b/>
          <w:bCs/>
          <w:kern w:val="36"/>
          <w:sz w:val="20"/>
          <w:szCs w:val="20"/>
          <w:lang w:val="en-US" w:eastAsia="hu-HU"/>
        </w:rPr>
        <w:t>Vonal</w:t>
      </w:r>
      <w:proofErr w:type="spellEnd"/>
      <w:r w:rsidRPr="00B243CF">
        <w:rPr>
          <w:rFonts w:ascii="Calibri Light" w:eastAsia="Times New Roman" w:hAnsi="Calibri Light" w:cs="Arial"/>
          <w:b/>
          <w:bCs/>
          <w:kern w:val="36"/>
          <w:sz w:val="20"/>
          <w:szCs w:val="20"/>
          <w:lang w:val="en-US" w:eastAsia="hu-HU"/>
        </w:rPr>
        <w:t xml:space="preserve"> Child Crisis Foundation </w:t>
      </w:r>
      <w:r w:rsidRPr="00B243CF">
        <w:rPr>
          <w:rFonts w:ascii="Calibri Light" w:eastAsia="Times New Roman" w:hAnsi="Calibri Light" w:cs="Arial"/>
          <w:bCs/>
          <w:kern w:val="36"/>
          <w:sz w:val="20"/>
          <w:szCs w:val="20"/>
          <w:lang w:val="en-US" w:eastAsia="hu-HU"/>
        </w:rPr>
        <w:t xml:space="preserve">was founded in 1993, therefore it has a more than twenty years past experience. The primary task of the </w:t>
      </w:r>
      <w:proofErr w:type="spellStart"/>
      <w:r w:rsidRPr="00B243CF">
        <w:rPr>
          <w:rFonts w:ascii="Calibri Light" w:eastAsia="Times New Roman" w:hAnsi="Calibri Light" w:cs="Arial"/>
          <w:bCs/>
          <w:kern w:val="36"/>
          <w:sz w:val="20"/>
          <w:szCs w:val="20"/>
          <w:lang w:val="en-US" w:eastAsia="hu-HU"/>
        </w:rPr>
        <w:t>Kék</w:t>
      </w:r>
      <w:proofErr w:type="spellEnd"/>
      <w:r w:rsidRPr="00B243CF">
        <w:rPr>
          <w:rFonts w:ascii="Calibri Light" w:eastAsia="Times New Roman" w:hAnsi="Calibri Light" w:cs="Arial"/>
          <w:bCs/>
          <w:kern w:val="36"/>
          <w:sz w:val="20"/>
          <w:szCs w:val="20"/>
          <w:lang w:val="en-US" w:eastAsia="hu-HU"/>
        </w:rPr>
        <w:t xml:space="preserve"> </w:t>
      </w:r>
      <w:proofErr w:type="spellStart"/>
      <w:r w:rsidRPr="00B243CF">
        <w:rPr>
          <w:rFonts w:ascii="Calibri Light" w:eastAsia="Times New Roman" w:hAnsi="Calibri Light" w:cs="Arial"/>
          <w:bCs/>
          <w:kern w:val="36"/>
          <w:sz w:val="20"/>
          <w:szCs w:val="20"/>
          <w:lang w:val="en-US" w:eastAsia="hu-HU"/>
        </w:rPr>
        <w:t>Vonal</w:t>
      </w:r>
      <w:proofErr w:type="spellEnd"/>
      <w:r w:rsidRPr="00B243CF">
        <w:rPr>
          <w:rFonts w:ascii="Calibri Light" w:eastAsia="Times New Roman" w:hAnsi="Calibri Light" w:cs="Arial"/>
          <w:bCs/>
          <w:kern w:val="36"/>
          <w:sz w:val="20"/>
          <w:szCs w:val="20"/>
          <w:lang w:val="en-US" w:eastAsia="hu-HU"/>
        </w:rPr>
        <w:t xml:space="preserve"> Child Crisis Foundation is to listen to the children and young people and help those of them who are in need. We work on implementing the rights of children as defined by the United Nations. Our mission is to reach that adults, as well as professional and governmental bodies working with children serve the interests of children above all other interests.</w:t>
      </w:r>
    </w:p>
    <w:p w:rsidR="00D62A4E" w:rsidRDefault="00D62A4E" w:rsidP="00F80D77">
      <w:pPr>
        <w:shd w:val="clear" w:color="auto" w:fill="FFFFFF"/>
        <w:spacing w:before="100" w:beforeAutospacing="1" w:after="100" w:afterAutospacing="1" w:line="240" w:lineRule="auto"/>
        <w:jc w:val="both"/>
        <w:outlineLvl w:val="0"/>
        <w:rPr>
          <w:rFonts w:ascii="Calibri Light" w:eastAsia="Times New Roman" w:hAnsi="Calibri Light" w:cs="Arial"/>
          <w:bCs/>
          <w:kern w:val="36"/>
          <w:sz w:val="20"/>
          <w:szCs w:val="20"/>
          <w:lang w:val="en-US" w:eastAsia="hu-HU"/>
        </w:rPr>
      </w:pPr>
      <w:r w:rsidRPr="00B243CF">
        <w:rPr>
          <w:rFonts w:ascii="Calibri Light" w:eastAsia="Times New Roman" w:hAnsi="Calibri Light" w:cs="Arial"/>
          <w:b/>
          <w:bCs/>
          <w:kern w:val="36"/>
          <w:sz w:val="20"/>
          <w:szCs w:val="20"/>
          <w:lang w:val="en-US" w:eastAsia="hu-HU"/>
        </w:rPr>
        <w:t>UNICEF National Committee in Hungary</w:t>
      </w:r>
      <w:r w:rsidRPr="00B243CF">
        <w:rPr>
          <w:rFonts w:ascii="Calibri Light" w:eastAsia="Times New Roman" w:hAnsi="Calibri Light" w:cs="Arial"/>
          <w:bCs/>
          <w:kern w:val="36"/>
          <w:sz w:val="20"/>
          <w:szCs w:val="20"/>
          <w:lang w:val="en-US" w:eastAsia="hu-HU"/>
        </w:rPr>
        <w:t xml:space="preserve"> represents UNICEF in Hungary, as an independent NGO, which raise donations for the UNICEF’ s humanitarian and development </w:t>
      </w:r>
      <w:proofErr w:type="spellStart"/>
      <w:r w:rsidRPr="00B243CF">
        <w:rPr>
          <w:rFonts w:ascii="Calibri Light" w:eastAsia="Times New Roman" w:hAnsi="Calibri Light" w:cs="Arial"/>
          <w:bCs/>
          <w:kern w:val="36"/>
          <w:sz w:val="20"/>
          <w:szCs w:val="20"/>
          <w:lang w:val="en-US" w:eastAsia="hu-HU"/>
        </w:rPr>
        <w:t>programmes</w:t>
      </w:r>
      <w:proofErr w:type="spellEnd"/>
      <w:r w:rsidRPr="00B243CF">
        <w:rPr>
          <w:rFonts w:ascii="Calibri Light" w:eastAsia="Times New Roman" w:hAnsi="Calibri Light" w:cs="Arial"/>
          <w:bCs/>
          <w:kern w:val="36"/>
          <w:sz w:val="20"/>
          <w:szCs w:val="20"/>
          <w:lang w:val="en-US" w:eastAsia="hu-HU"/>
        </w:rPr>
        <w:t xml:space="preserve">, and fight for the realization of children’s rights in Hungary through child rights education </w:t>
      </w:r>
      <w:proofErr w:type="spellStart"/>
      <w:r w:rsidRPr="00B243CF">
        <w:rPr>
          <w:rFonts w:ascii="Calibri Light" w:eastAsia="Times New Roman" w:hAnsi="Calibri Light" w:cs="Arial"/>
          <w:bCs/>
          <w:kern w:val="36"/>
          <w:sz w:val="20"/>
          <w:szCs w:val="20"/>
          <w:lang w:val="en-US" w:eastAsia="hu-HU"/>
        </w:rPr>
        <w:t>programmes</w:t>
      </w:r>
      <w:proofErr w:type="spellEnd"/>
      <w:r w:rsidRPr="00B243CF">
        <w:rPr>
          <w:rFonts w:ascii="Calibri Light" w:eastAsia="Times New Roman" w:hAnsi="Calibri Light" w:cs="Arial"/>
          <w:bCs/>
          <w:kern w:val="36"/>
          <w:sz w:val="20"/>
          <w:szCs w:val="20"/>
          <w:lang w:val="en-US" w:eastAsia="hu-HU"/>
        </w:rPr>
        <w:t xml:space="preserve"> and advocacy work.</w:t>
      </w:r>
    </w:p>
    <w:p w:rsidR="00B41AB4" w:rsidRDefault="00B41AB4" w:rsidP="00F80D77">
      <w:pPr>
        <w:shd w:val="clear" w:color="auto" w:fill="FFFFFF"/>
        <w:spacing w:before="100" w:beforeAutospacing="1" w:after="100" w:afterAutospacing="1" w:line="240" w:lineRule="auto"/>
        <w:jc w:val="both"/>
        <w:outlineLvl w:val="0"/>
        <w:rPr>
          <w:rFonts w:ascii="Calibri Light" w:eastAsia="Times New Roman" w:hAnsi="Calibri Light" w:cs="Arial"/>
          <w:bCs/>
          <w:kern w:val="36"/>
          <w:sz w:val="20"/>
          <w:szCs w:val="20"/>
          <w:lang w:val="en-US" w:eastAsia="hu-HU"/>
        </w:rPr>
      </w:pPr>
      <w:r w:rsidRPr="00B41AB4">
        <w:rPr>
          <w:rFonts w:ascii="Calibri Light" w:eastAsia="Times New Roman" w:hAnsi="Calibri Light" w:cs="Arial"/>
          <w:b/>
          <w:bCs/>
          <w:kern w:val="36"/>
          <w:sz w:val="20"/>
          <w:szCs w:val="20"/>
          <w:lang w:val="en-US" w:eastAsia="hu-HU"/>
        </w:rPr>
        <w:t xml:space="preserve">The Association of European Parents in Hungary </w:t>
      </w:r>
      <w:r w:rsidRPr="00B41AB4">
        <w:rPr>
          <w:rFonts w:ascii="Calibri Light" w:eastAsia="Times New Roman" w:hAnsi="Calibri Light" w:cs="Arial"/>
          <w:bCs/>
          <w:kern w:val="36"/>
          <w:sz w:val="20"/>
          <w:szCs w:val="20"/>
          <w:lang w:val="en-US" w:eastAsia="hu-HU"/>
        </w:rPr>
        <w:t xml:space="preserve">(ESZME) was established in 2011 to support successful parenting with special focus on sharing good practices and experiences on special issues and problems of children of different ages within the family and </w:t>
      </w:r>
      <w:proofErr w:type="spellStart"/>
      <w:r w:rsidRPr="00B41AB4">
        <w:rPr>
          <w:rFonts w:ascii="Calibri Light" w:eastAsia="Times New Roman" w:hAnsi="Calibri Light" w:cs="Arial"/>
          <w:bCs/>
          <w:kern w:val="36"/>
          <w:sz w:val="20"/>
          <w:szCs w:val="20"/>
          <w:lang w:val="en-US" w:eastAsia="hu-HU"/>
        </w:rPr>
        <w:t>isntitutions</w:t>
      </w:r>
      <w:proofErr w:type="spellEnd"/>
      <w:r w:rsidRPr="00B41AB4">
        <w:rPr>
          <w:rFonts w:ascii="Calibri Light" w:eastAsia="Times New Roman" w:hAnsi="Calibri Light" w:cs="Arial"/>
          <w:bCs/>
          <w:kern w:val="36"/>
          <w:sz w:val="20"/>
          <w:szCs w:val="20"/>
          <w:lang w:val="en-US" w:eastAsia="hu-HU"/>
        </w:rPr>
        <w:t xml:space="preserve">, supporting relationship building between the family and institutions, with special focus on schools, support the successful operating of institute/school level parents’ representation, supporting parents facing the challenges of the 21st century, with special focus on the integration of different generations into information society, raising the voice of parents as stakeholders on national </w:t>
      </w:r>
      <w:proofErr w:type="spellStart"/>
      <w:r w:rsidRPr="00B41AB4">
        <w:rPr>
          <w:rFonts w:ascii="Calibri Light" w:eastAsia="Times New Roman" w:hAnsi="Calibri Light" w:cs="Arial"/>
          <w:bCs/>
          <w:kern w:val="36"/>
          <w:sz w:val="20"/>
          <w:szCs w:val="20"/>
          <w:lang w:val="en-US" w:eastAsia="hu-HU"/>
        </w:rPr>
        <w:t>leve</w:t>
      </w:r>
      <w:proofErr w:type="spellEnd"/>
      <w:r w:rsidRPr="00B41AB4">
        <w:rPr>
          <w:rFonts w:ascii="Calibri Light" w:eastAsia="Times New Roman" w:hAnsi="Calibri Light" w:cs="Arial"/>
          <w:bCs/>
          <w:kern w:val="36"/>
          <w:sz w:val="20"/>
          <w:szCs w:val="20"/>
          <w:lang w:val="en-US" w:eastAsia="hu-HU"/>
        </w:rPr>
        <w:t xml:space="preserve"> las well as in the media, supporting the mutual support of parents. ESZME is a full member of the European Parents’ Association (EPA)</w:t>
      </w:r>
    </w:p>
    <w:p w:rsidR="00210E66" w:rsidRPr="00670254" w:rsidRDefault="00210E66" w:rsidP="00210E66">
      <w:pPr>
        <w:shd w:val="clear" w:color="auto" w:fill="FFFFFF"/>
        <w:spacing w:before="100" w:beforeAutospacing="1" w:after="100" w:afterAutospacing="1" w:line="240" w:lineRule="auto"/>
        <w:jc w:val="both"/>
        <w:outlineLvl w:val="0"/>
        <w:rPr>
          <w:rFonts w:ascii="Calibri Light" w:eastAsia="Times New Roman" w:hAnsi="Calibri Light" w:cs="Arial"/>
          <w:bCs/>
          <w:kern w:val="36"/>
          <w:sz w:val="20"/>
          <w:szCs w:val="20"/>
          <w:lang w:val="en-US" w:eastAsia="hu-HU"/>
        </w:rPr>
      </w:pPr>
      <w:r w:rsidRPr="00210E66">
        <w:rPr>
          <w:rFonts w:ascii="Calibri Light" w:eastAsia="Times New Roman" w:hAnsi="Calibri Light" w:cs="Arial"/>
          <w:bCs/>
          <w:kern w:val="36"/>
          <w:sz w:val="20"/>
          <w:szCs w:val="20"/>
          <w:lang w:val="en-US" w:eastAsia="hu-HU"/>
        </w:rPr>
        <w:t xml:space="preserve">In January 2012, five Hungarian NGOs established the </w:t>
      </w:r>
      <w:r w:rsidRPr="00210E66">
        <w:rPr>
          <w:rFonts w:ascii="Calibri Light" w:eastAsia="Times New Roman" w:hAnsi="Calibri Light" w:cs="Arial"/>
          <w:b/>
          <w:bCs/>
          <w:kern w:val="36"/>
          <w:sz w:val="20"/>
          <w:szCs w:val="20"/>
          <w:lang w:val="en-US" w:eastAsia="hu-HU"/>
        </w:rPr>
        <w:t xml:space="preserve">Working Group </w:t>
      </w:r>
      <w:proofErr w:type="gramStart"/>
      <w:r w:rsidRPr="00210E66">
        <w:rPr>
          <w:rFonts w:ascii="Calibri Light" w:eastAsia="Times New Roman" w:hAnsi="Calibri Light" w:cs="Arial"/>
          <w:b/>
          <w:bCs/>
          <w:kern w:val="36"/>
          <w:sz w:val="20"/>
          <w:szCs w:val="20"/>
          <w:lang w:val="en-US" w:eastAsia="hu-HU"/>
        </w:rPr>
        <w:t>Against</w:t>
      </w:r>
      <w:proofErr w:type="gramEnd"/>
      <w:r w:rsidRPr="00210E66">
        <w:rPr>
          <w:rFonts w:ascii="Calibri Light" w:eastAsia="Times New Roman" w:hAnsi="Calibri Light" w:cs="Arial"/>
          <w:b/>
          <w:bCs/>
          <w:kern w:val="36"/>
          <w:sz w:val="20"/>
          <w:szCs w:val="20"/>
          <w:lang w:val="en-US" w:eastAsia="hu-HU"/>
        </w:rPr>
        <w:t xml:space="preserve"> Hate Crimes</w:t>
      </w:r>
      <w:r w:rsidRPr="00210E66">
        <w:rPr>
          <w:rFonts w:ascii="Calibri Light" w:eastAsia="Times New Roman" w:hAnsi="Calibri Light" w:cs="Arial"/>
          <w:bCs/>
          <w:kern w:val="36"/>
          <w:sz w:val="20"/>
          <w:szCs w:val="20"/>
          <w:lang w:val="en-US" w:eastAsia="hu-HU"/>
        </w:rPr>
        <w:t xml:space="preserve"> to join forces for a more effective approach against hate crimes. Besides the representatives of the founding organizations, individual experts also take part in the work of the working group. The principal objective of the working group is to fight hate crimes. To achieve this, we work for the following goals:</w:t>
      </w:r>
      <w:r>
        <w:rPr>
          <w:rFonts w:ascii="Calibri Light" w:eastAsia="Times New Roman" w:hAnsi="Calibri Light" w:cs="Arial"/>
          <w:bCs/>
          <w:kern w:val="36"/>
          <w:sz w:val="20"/>
          <w:szCs w:val="20"/>
          <w:lang w:val="en-US" w:eastAsia="hu-HU"/>
        </w:rPr>
        <w:t xml:space="preserve"> </w:t>
      </w:r>
      <w:r w:rsidRPr="00210E66">
        <w:rPr>
          <w:rFonts w:ascii="Calibri Light" w:eastAsia="Times New Roman" w:hAnsi="Calibri Light" w:cs="Arial"/>
          <w:bCs/>
          <w:kern w:val="36"/>
          <w:sz w:val="20"/>
          <w:szCs w:val="20"/>
          <w:lang w:val="en-US" w:eastAsia="hu-HU"/>
        </w:rPr>
        <w:t>establishing a more effective legal and institutional framework for state responses to hate crimes;</w:t>
      </w:r>
      <w:r>
        <w:rPr>
          <w:rFonts w:ascii="Calibri Light" w:eastAsia="Times New Roman" w:hAnsi="Calibri Light" w:cs="Arial"/>
          <w:bCs/>
          <w:kern w:val="36"/>
          <w:sz w:val="20"/>
          <w:szCs w:val="20"/>
          <w:lang w:val="en-US" w:eastAsia="hu-HU"/>
        </w:rPr>
        <w:t xml:space="preserve"> </w:t>
      </w:r>
      <w:r w:rsidRPr="00210E66">
        <w:rPr>
          <w:rFonts w:ascii="Calibri Light" w:eastAsia="Times New Roman" w:hAnsi="Calibri Light" w:cs="Arial"/>
          <w:bCs/>
          <w:kern w:val="36"/>
          <w:sz w:val="20"/>
          <w:szCs w:val="20"/>
          <w:lang w:val="en-US" w:eastAsia="hu-HU"/>
        </w:rPr>
        <w:t>encouraging victims to initiate legal proceedings;</w:t>
      </w:r>
      <w:r>
        <w:rPr>
          <w:rFonts w:ascii="Calibri Light" w:eastAsia="Times New Roman" w:hAnsi="Calibri Light" w:cs="Arial"/>
          <w:bCs/>
          <w:kern w:val="36"/>
          <w:sz w:val="20"/>
          <w:szCs w:val="20"/>
          <w:lang w:val="en-US" w:eastAsia="hu-HU"/>
        </w:rPr>
        <w:t xml:space="preserve"> </w:t>
      </w:r>
      <w:r w:rsidRPr="00210E66">
        <w:rPr>
          <w:rFonts w:ascii="Calibri Light" w:eastAsia="Times New Roman" w:hAnsi="Calibri Light" w:cs="Arial"/>
          <w:bCs/>
          <w:kern w:val="36"/>
          <w:sz w:val="20"/>
          <w:szCs w:val="20"/>
          <w:lang w:val="en-US" w:eastAsia="hu-HU"/>
        </w:rPr>
        <w:t>creating a social environment rejecting hate crimes.</w:t>
      </w:r>
    </w:p>
    <w:p w:rsidR="00D62A4E" w:rsidRPr="00B243CF" w:rsidRDefault="00D62A4E" w:rsidP="00F80D77">
      <w:pPr>
        <w:spacing w:after="0" w:line="240" w:lineRule="auto"/>
        <w:jc w:val="both"/>
        <w:rPr>
          <w:rStyle w:val="Hiperhivatkozs"/>
          <w:rFonts w:ascii="Calibri Light" w:hAnsi="Calibri Light"/>
          <w:sz w:val="20"/>
          <w:szCs w:val="20"/>
          <w:shd w:val="clear" w:color="auto" w:fill="FFFFFF"/>
          <w:lang w:val="en-US"/>
        </w:rPr>
      </w:pPr>
      <w:r w:rsidRPr="00B243CF">
        <w:rPr>
          <w:rFonts w:ascii="Calibri Light" w:hAnsi="Calibri Light"/>
          <w:color w:val="000000"/>
          <w:sz w:val="20"/>
          <w:szCs w:val="20"/>
          <w:shd w:val="clear" w:color="auto" w:fill="FFFFFF"/>
          <w:lang w:val="en-US"/>
        </w:rPr>
        <w:t xml:space="preserve">The </w:t>
      </w:r>
      <w:r w:rsidRPr="00B243CF">
        <w:rPr>
          <w:rFonts w:ascii="Calibri Light" w:hAnsi="Calibri Light"/>
          <w:b/>
          <w:color w:val="000000"/>
          <w:sz w:val="20"/>
          <w:szCs w:val="20"/>
          <w:shd w:val="clear" w:color="auto" w:fill="FFFFFF"/>
          <w:lang w:val="en-US"/>
        </w:rPr>
        <w:t>Hungarian Women’s Lobby</w:t>
      </w:r>
      <w:r w:rsidRPr="00B243CF">
        <w:rPr>
          <w:rFonts w:ascii="Calibri Light" w:hAnsi="Calibri Light"/>
          <w:color w:val="000000"/>
          <w:sz w:val="20"/>
          <w:szCs w:val="20"/>
          <w:shd w:val="clear" w:color="auto" w:fill="FFFFFF"/>
          <w:lang w:val="en-US"/>
        </w:rPr>
        <w:t xml:space="preserve"> (HWL), established in 2003, is an umbrella </w:t>
      </w:r>
      <w:proofErr w:type="spellStart"/>
      <w:r w:rsidRPr="00B243CF">
        <w:rPr>
          <w:rFonts w:ascii="Calibri Light" w:hAnsi="Calibri Light"/>
          <w:color w:val="000000"/>
          <w:sz w:val="20"/>
          <w:szCs w:val="20"/>
          <w:shd w:val="clear" w:color="auto" w:fill="FFFFFF"/>
          <w:lang w:val="en-US"/>
        </w:rPr>
        <w:t>organisation</w:t>
      </w:r>
      <w:proofErr w:type="spellEnd"/>
      <w:r w:rsidRPr="00B243CF">
        <w:rPr>
          <w:rFonts w:ascii="Calibri Light" w:hAnsi="Calibri Light"/>
          <w:color w:val="000000"/>
          <w:sz w:val="20"/>
          <w:szCs w:val="20"/>
          <w:shd w:val="clear" w:color="auto" w:fill="FFFFFF"/>
          <w:lang w:val="en-US"/>
        </w:rPr>
        <w:t xml:space="preserve"> advocating for the women’s human rights agenda as laid down by international norms. The HWL unites and represents the interests of Hungarian women’s </w:t>
      </w:r>
      <w:proofErr w:type="spellStart"/>
      <w:r w:rsidRPr="00B243CF">
        <w:rPr>
          <w:rFonts w:ascii="Calibri Light" w:hAnsi="Calibri Light"/>
          <w:color w:val="000000"/>
          <w:sz w:val="20"/>
          <w:szCs w:val="20"/>
          <w:shd w:val="clear" w:color="auto" w:fill="FFFFFF"/>
          <w:lang w:val="en-US"/>
        </w:rPr>
        <w:t>organisations</w:t>
      </w:r>
      <w:proofErr w:type="spellEnd"/>
      <w:r w:rsidRPr="00B243CF">
        <w:rPr>
          <w:rFonts w:ascii="Calibri Light" w:hAnsi="Calibri Light"/>
          <w:color w:val="000000"/>
          <w:sz w:val="20"/>
          <w:szCs w:val="20"/>
          <w:shd w:val="clear" w:color="auto" w:fill="FFFFFF"/>
          <w:lang w:val="en-US"/>
        </w:rPr>
        <w:t xml:space="preserve"> with a gender equality and human rights-based agenda. HWL is the Hungarian national coordinator </w:t>
      </w:r>
      <w:proofErr w:type="spellStart"/>
      <w:r w:rsidRPr="00B243CF">
        <w:rPr>
          <w:rFonts w:ascii="Calibri Light" w:hAnsi="Calibri Light"/>
          <w:color w:val="000000"/>
          <w:sz w:val="20"/>
          <w:szCs w:val="20"/>
          <w:shd w:val="clear" w:color="auto" w:fill="FFFFFF"/>
          <w:lang w:val="en-US"/>
        </w:rPr>
        <w:t>organisation</w:t>
      </w:r>
      <w:proofErr w:type="spellEnd"/>
      <w:r w:rsidRPr="00B243CF">
        <w:rPr>
          <w:rFonts w:ascii="Calibri Light" w:hAnsi="Calibri Light"/>
          <w:color w:val="000000"/>
          <w:sz w:val="20"/>
          <w:szCs w:val="20"/>
          <w:shd w:val="clear" w:color="auto" w:fill="FFFFFF"/>
          <w:lang w:val="en-US"/>
        </w:rPr>
        <w:t xml:space="preserve"> of the European Women’s Lobby, the largest umbrella of women's associations in the EU.</w:t>
      </w:r>
      <w:r w:rsidR="00056B92">
        <w:rPr>
          <w:rFonts w:ascii="Calibri Light" w:hAnsi="Calibri Light"/>
          <w:color w:val="000000"/>
          <w:sz w:val="20"/>
          <w:szCs w:val="20"/>
          <w:shd w:val="clear" w:color="auto" w:fill="FFFFFF"/>
          <w:lang w:val="en-US"/>
        </w:rPr>
        <w:t xml:space="preserve"> </w:t>
      </w:r>
      <w:hyperlink r:id="rId24" w:tgtFrame="_blank" w:history="1">
        <w:r w:rsidRPr="00B243CF">
          <w:rPr>
            <w:rStyle w:val="Hiperhivatkozs"/>
            <w:rFonts w:ascii="Calibri Light" w:hAnsi="Calibri Light"/>
            <w:sz w:val="20"/>
            <w:szCs w:val="20"/>
            <w:shd w:val="clear" w:color="auto" w:fill="FFFFFF"/>
            <w:lang w:val="en-US"/>
          </w:rPr>
          <w:t>www.noierdek.hu</w:t>
        </w:r>
      </w:hyperlink>
    </w:p>
    <w:p w:rsidR="00D62A4E" w:rsidRPr="00B243CF" w:rsidRDefault="00D62A4E" w:rsidP="00F80D77">
      <w:pPr>
        <w:spacing w:after="0" w:line="240" w:lineRule="auto"/>
        <w:jc w:val="both"/>
        <w:rPr>
          <w:rFonts w:ascii="Calibri Light" w:hAnsi="Calibri Light"/>
          <w:color w:val="000000"/>
          <w:sz w:val="20"/>
          <w:szCs w:val="20"/>
          <w:shd w:val="clear" w:color="auto" w:fill="FFFFFF"/>
          <w:lang w:val="en-US"/>
        </w:rPr>
      </w:pPr>
    </w:p>
    <w:p w:rsidR="00D62A4E" w:rsidRPr="00B243CF" w:rsidRDefault="00D62A4E" w:rsidP="00F80D77">
      <w:pPr>
        <w:spacing w:after="0" w:line="240" w:lineRule="auto"/>
        <w:jc w:val="both"/>
        <w:rPr>
          <w:rStyle w:val="Hiperhivatkozs"/>
          <w:rFonts w:ascii="Calibri Light" w:hAnsi="Calibri Light"/>
          <w:color w:val="000000"/>
          <w:sz w:val="20"/>
          <w:szCs w:val="20"/>
          <w:shd w:val="clear" w:color="auto" w:fill="FFFFFF"/>
          <w:lang w:val="en-US"/>
        </w:rPr>
      </w:pPr>
      <w:r w:rsidRPr="00B243CF">
        <w:rPr>
          <w:rFonts w:ascii="Calibri Light" w:hAnsi="Calibri Light"/>
          <w:b/>
          <w:color w:val="000000"/>
          <w:sz w:val="20"/>
          <w:szCs w:val="20"/>
          <w:shd w:val="clear" w:color="auto" w:fill="FFFFFF"/>
          <w:lang w:val="en-US"/>
        </w:rPr>
        <w:t>NANE Women's Rights Association</w:t>
      </w:r>
      <w:r w:rsidRPr="00B243CF">
        <w:rPr>
          <w:rFonts w:ascii="Calibri Light" w:hAnsi="Calibri Light"/>
          <w:color w:val="000000"/>
          <w:sz w:val="20"/>
          <w:szCs w:val="20"/>
          <w:shd w:val="clear" w:color="auto" w:fill="FFFFFF"/>
          <w:lang w:val="en-US"/>
        </w:rPr>
        <w:t>, established in 1994, is a grassroots NGO following a human rights approach, providing continuous services for victims of gender based violence, and running short and medium term public education, training and advocacy projects. NANE's mission is to contribute to a world free of any form of gender based violence stemming from, reinforced by, and serving patriarchal notions and goals.</w:t>
      </w:r>
      <w:r w:rsidR="00056B92">
        <w:rPr>
          <w:rFonts w:ascii="Calibri Light" w:hAnsi="Calibri Light"/>
          <w:color w:val="000000"/>
          <w:sz w:val="20"/>
          <w:szCs w:val="20"/>
          <w:shd w:val="clear" w:color="auto" w:fill="FFFFFF"/>
          <w:lang w:val="en-US"/>
        </w:rPr>
        <w:t xml:space="preserve"> </w:t>
      </w:r>
      <w:hyperlink r:id="rId25" w:tgtFrame="_blank" w:history="1">
        <w:r w:rsidRPr="00B243CF">
          <w:rPr>
            <w:rStyle w:val="Hiperhivatkozs"/>
            <w:rFonts w:ascii="Calibri Light" w:hAnsi="Calibri Light"/>
            <w:sz w:val="20"/>
            <w:szCs w:val="20"/>
            <w:shd w:val="clear" w:color="auto" w:fill="FFFFFF"/>
            <w:lang w:val="en-US"/>
          </w:rPr>
          <w:t>www.nane.hu</w:t>
        </w:r>
      </w:hyperlink>
    </w:p>
    <w:p w:rsidR="00D62A4E" w:rsidRPr="00B243CF" w:rsidRDefault="00D62A4E" w:rsidP="00F80D77">
      <w:pPr>
        <w:spacing w:line="240" w:lineRule="auto"/>
        <w:jc w:val="both"/>
        <w:rPr>
          <w:rFonts w:ascii="Calibri Light" w:hAnsi="Calibri Light"/>
          <w:b/>
          <w:color w:val="000000"/>
          <w:sz w:val="20"/>
          <w:szCs w:val="20"/>
          <w:shd w:val="clear" w:color="auto" w:fill="FFFFFF"/>
          <w:lang w:val="en-US"/>
        </w:rPr>
      </w:pPr>
    </w:p>
    <w:p w:rsidR="00D62A4E" w:rsidRPr="00B243CF" w:rsidRDefault="00D62A4E" w:rsidP="00F80D77">
      <w:pPr>
        <w:spacing w:line="240" w:lineRule="auto"/>
        <w:jc w:val="both"/>
        <w:rPr>
          <w:rFonts w:ascii="Calibri Light" w:hAnsi="Calibri Light"/>
          <w:color w:val="000000"/>
          <w:sz w:val="20"/>
          <w:szCs w:val="20"/>
          <w:shd w:val="clear" w:color="auto" w:fill="FFFFFF"/>
          <w:lang w:val="en-US"/>
        </w:rPr>
      </w:pPr>
      <w:r w:rsidRPr="00B243CF">
        <w:rPr>
          <w:rFonts w:ascii="Calibri Light" w:hAnsi="Calibri Light"/>
          <w:b/>
          <w:color w:val="000000"/>
          <w:sz w:val="20"/>
          <w:szCs w:val="20"/>
          <w:shd w:val="clear" w:color="auto" w:fill="FFFFFF"/>
          <w:lang w:val="en-US"/>
        </w:rPr>
        <w:t>PATENT</w:t>
      </w:r>
      <w:r w:rsidRPr="00B243CF">
        <w:rPr>
          <w:rFonts w:ascii="Calibri Light" w:hAnsi="Calibri Light"/>
          <w:color w:val="000000"/>
          <w:sz w:val="20"/>
          <w:szCs w:val="20"/>
          <w:shd w:val="clear" w:color="auto" w:fill="FFFFFF"/>
          <w:lang w:val="en-US"/>
        </w:rPr>
        <w:t xml:space="preserve"> (People Opposing Patriarchy), founded in 2006, is an NGO with a vision to contribute to a society where the equality of women and LGBT people is a reality. PATENT provides legal and psychological counselling and, in certain cases, legal representation to women and children victims of male violence and to victims of violence and discrimination against LGBT people. The </w:t>
      </w:r>
      <w:proofErr w:type="spellStart"/>
      <w:r w:rsidRPr="00B243CF">
        <w:rPr>
          <w:rFonts w:ascii="Calibri Light" w:hAnsi="Calibri Light"/>
          <w:color w:val="000000"/>
          <w:sz w:val="20"/>
          <w:szCs w:val="20"/>
          <w:shd w:val="clear" w:color="auto" w:fill="FFFFFF"/>
          <w:lang w:val="en-US"/>
        </w:rPr>
        <w:t>organisation</w:t>
      </w:r>
      <w:proofErr w:type="spellEnd"/>
      <w:r w:rsidRPr="00B243CF">
        <w:rPr>
          <w:rFonts w:ascii="Calibri Light" w:hAnsi="Calibri Light"/>
          <w:color w:val="000000"/>
          <w:sz w:val="20"/>
          <w:szCs w:val="20"/>
          <w:shd w:val="clear" w:color="auto" w:fill="FFFFFF"/>
          <w:lang w:val="en-US"/>
        </w:rPr>
        <w:t xml:space="preserve"> also conducts awareness raising, training activities, as well as lobbying for legal reforms.  </w:t>
      </w:r>
      <w:hyperlink r:id="rId26" w:tgtFrame="_blank" w:history="1">
        <w:r w:rsidRPr="00B243CF">
          <w:rPr>
            <w:rStyle w:val="Hiperhivatkozs"/>
            <w:rFonts w:ascii="Calibri Light" w:hAnsi="Calibri Light"/>
            <w:sz w:val="20"/>
            <w:szCs w:val="20"/>
            <w:shd w:val="clear" w:color="auto" w:fill="FFFFFF"/>
            <w:lang w:val="en-US"/>
          </w:rPr>
          <w:t>www.patent.org.hu</w:t>
        </w:r>
      </w:hyperlink>
    </w:p>
    <w:p w:rsidR="00D62A4E" w:rsidRPr="00B243CF" w:rsidRDefault="00D62A4E" w:rsidP="00D62A4E">
      <w:pPr>
        <w:jc w:val="both"/>
        <w:rPr>
          <w:rFonts w:ascii="Calibri Light" w:hAnsi="Calibri Light"/>
          <w:color w:val="000000"/>
          <w:sz w:val="20"/>
          <w:szCs w:val="20"/>
          <w:shd w:val="clear" w:color="auto" w:fill="FFFFFF"/>
          <w:lang w:val="en-US"/>
        </w:rPr>
      </w:pPr>
    </w:p>
    <w:p w:rsidR="00D62A4E" w:rsidRPr="00B243CF" w:rsidRDefault="00D62A4E" w:rsidP="00D62A4E">
      <w:pPr>
        <w:rPr>
          <w:rFonts w:ascii="Calibri Light" w:hAnsi="Calibri Light"/>
          <w:sz w:val="20"/>
          <w:szCs w:val="20"/>
          <w:lang w:val="en-US"/>
        </w:rPr>
      </w:pPr>
    </w:p>
    <w:p w:rsidR="00D62A4E" w:rsidRDefault="00D62A4E">
      <w:pPr>
        <w:rPr>
          <w:rFonts w:ascii="Times New Roman" w:eastAsia="Arial" w:hAnsi="Times New Roman" w:cs="Times New Roman"/>
          <w:color w:val="000000"/>
          <w:sz w:val="24"/>
          <w:szCs w:val="24"/>
          <w:lang w:val="en-US" w:eastAsia="ar-SA"/>
        </w:rPr>
      </w:pPr>
      <w:r>
        <w:rPr>
          <w:color w:val="000000"/>
          <w:sz w:val="24"/>
          <w:szCs w:val="24"/>
        </w:rPr>
        <w:br w:type="page"/>
      </w:r>
    </w:p>
    <w:p w:rsidR="004670C8" w:rsidRPr="008A6F10" w:rsidRDefault="004670C8" w:rsidP="0035378F">
      <w:pPr>
        <w:pStyle w:val="Style-3"/>
        <w:tabs>
          <w:tab w:val="left" w:pos="0"/>
        </w:tabs>
        <w:spacing w:line="20" w:lineRule="atLeast"/>
        <w:rPr>
          <w:color w:val="000000"/>
          <w:sz w:val="24"/>
          <w:szCs w:val="24"/>
        </w:rPr>
      </w:pPr>
    </w:p>
    <w:p w:rsidR="0049232F" w:rsidRPr="008A6F10" w:rsidRDefault="0064422C" w:rsidP="0049232F">
      <w:pPr>
        <w:pStyle w:val="Cm"/>
        <w:numPr>
          <w:ilvl w:val="0"/>
          <w:numId w:val="34"/>
        </w:numPr>
        <w:rPr>
          <w:lang w:val="en-US"/>
        </w:rPr>
      </w:pPr>
      <w:r w:rsidRPr="008A6F10">
        <w:rPr>
          <w:lang w:val="en-US"/>
        </w:rPr>
        <w:t>INTRODU</w:t>
      </w:r>
      <w:r w:rsidR="0049232F" w:rsidRPr="008A6F10">
        <w:rPr>
          <w:lang w:val="en-US"/>
        </w:rPr>
        <w:t>CTION</w:t>
      </w:r>
    </w:p>
    <w:p w:rsidR="0049232F" w:rsidRPr="008A6F10" w:rsidRDefault="0049232F" w:rsidP="001C1735">
      <w:pPr>
        <w:rPr>
          <w:rFonts w:asciiTheme="majorHAnsi" w:hAnsiTheme="majorHAnsi"/>
          <w:b/>
          <w:lang w:val="en-US"/>
        </w:rPr>
      </w:pPr>
    </w:p>
    <w:p w:rsidR="00555416" w:rsidRPr="008A6F10" w:rsidRDefault="00555416" w:rsidP="001C1735">
      <w:pPr>
        <w:rPr>
          <w:rFonts w:asciiTheme="majorHAnsi" w:hAnsiTheme="majorHAnsi"/>
          <w:b/>
          <w:lang w:val="en-US"/>
        </w:rPr>
      </w:pPr>
      <w:r w:rsidRPr="008A6F10">
        <w:rPr>
          <w:rFonts w:asciiTheme="majorHAnsi" w:hAnsiTheme="majorHAnsi"/>
          <w:b/>
          <w:lang w:val="en-US"/>
        </w:rPr>
        <w:t xml:space="preserve">In 2010, the </w:t>
      </w:r>
      <w:proofErr w:type="spellStart"/>
      <w:r w:rsidRPr="008A6F10">
        <w:rPr>
          <w:rFonts w:asciiTheme="majorHAnsi" w:hAnsiTheme="majorHAnsi"/>
          <w:b/>
          <w:lang w:val="en-US"/>
        </w:rPr>
        <w:t>Fidesz</w:t>
      </w:r>
      <w:proofErr w:type="spellEnd"/>
      <w:r w:rsidRPr="008A6F10">
        <w:rPr>
          <w:rFonts w:asciiTheme="majorHAnsi" w:hAnsiTheme="majorHAnsi"/>
          <w:b/>
          <w:lang w:val="en-US"/>
        </w:rPr>
        <w:t>-KDNP</w:t>
      </w:r>
      <w:r w:rsidR="003F64E4">
        <w:rPr>
          <w:rFonts w:asciiTheme="majorHAnsi" w:hAnsiTheme="majorHAnsi"/>
          <w:b/>
          <w:lang w:val="en-US"/>
        </w:rPr>
        <w:t xml:space="preserve"> coalition </w:t>
      </w:r>
      <w:r w:rsidRPr="008A6F10">
        <w:rPr>
          <w:rFonts w:asciiTheme="majorHAnsi" w:hAnsiTheme="majorHAnsi"/>
          <w:b/>
          <w:lang w:val="en-US"/>
        </w:rPr>
        <w:t>won the general ele</w:t>
      </w:r>
      <w:r w:rsidR="00156B13">
        <w:rPr>
          <w:rFonts w:asciiTheme="majorHAnsi" w:hAnsiTheme="majorHAnsi"/>
          <w:b/>
          <w:lang w:val="en-US"/>
        </w:rPr>
        <w:t xml:space="preserve">ctions, gaining </w:t>
      </w:r>
      <w:r w:rsidRPr="008A6F10">
        <w:rPr>
          <w:rFonts w:asciiTheme="majorHAnsi" w:hAnsiTheme="majorHAnsi"/>
          <w:b/>
          <w:lang w:val="en-US"/>
        </w:rPr>
        <w:t>two-thirds</w:t>
      </w:r>
      <w:r w:rsidR="00156B13">
        <w:rPr>
          <w:rFonts w:asciiTheme="majorHAnsi" w:hAnsiTheme="majorHAnsi"/>
          <w:b/>
          <w:lang w:val="en-US"/>
        </w:rPr>
        <w:t xml:space="preserve"> majority</w:t>
      </w:r>
      <w:r w:rsidR="005D3C76">
        <w:rPr>
          <w:rFonts w:asciiTheme="majorHAnsi" w:hAnsiTheme="majorHAnsi"/>
          <w:b/>
          <w:lang w:val="en-US"/>
        </w:rPr>
        <w:t xml:space="preserve"> in Parliament</w:t>
      </w:r>
      <w:r w:rsidR="009E086D">
        <w:rPr>
          <w:rFonts w:asciiTheme="majorHAnsi" w:hAnsiTheme="majorHAnsi"/>
          <w:b/>
          <w:lang w:val="en-US"/>
        </w:rPr>
        <w:t>. T</w:t>
      </w:r>
      <w:r w:rsidRPr="008A6F10">
        <w:rPr>
          <w:rFonts w:asciiTheme="majorHAnsi" w:hAnsiTheme="majorHAnsi"/>
          <w:b/>
          <w:lang w:val="en-US"/>
        </w:rPr>
        <w:t>he g</w:t>
      </w:r>
      <w:r w:rsidR="00DA5C5F">
        <w:rPr>
          <w:rFonts w:asciiTheme="majorHAnsi" w:hAnsiTheme="majorHAnsi"/>
          <w:b/>
          <w:lang w:val="en-US"/>
        </w:rPr>
        <w:t xml:space="preserve">overnment announced the </w:t>
      </w:r>
      <w:r w:rsidRPr="008A6F10">
        <w:rPr>
          <w:rFonts w:asciiTheme="majorHAnsi" w:hAnsiTheme="majorHAnsi"/>
          <w:b/>
          <w:lang w:val="en-US"/>
        </w:rPr>
        <w:t>reform of the public law and the stat</w:t>
      </w:r>
      <w:r w:rsidR="005A44A8">
        <w:rPr>
          <w:rFonts w:asciiTheme="majorHAnsi" w:hAnsiTheme="majorHAnsi"/>
          <w:b/>
          <w:lang w:val="en-US"/>
        </w:rPr>
        <w:t xml:space="preserve">e; the </w:t>
      </w:r>
      <w:r w:rsidR="009431CB">
        <w:rPr>
          <w:rFonts w:asciiTheme="majorHAnsi" w:hAnsiTheme="majorHAnsi"/>
          <w:b/>
          <w:lang w:val="en-US"/>
        </w:rPr>
        <w:t>two-thirds majority</w:t>
      </w:r>
      <w:r w:rsidR="00A87503">
        <w:rPr>
          <w:rFonts w:asciiTheme="majorHAnsi" w:hAnsiTheme="majorHAnsi"/>
          <w:b/>
          <w:lang w:val="en-US"/>
        </w:rPr>
        <w:t xml:space="preserve"> enabled to perform</w:t>
      </w:r>
      <w:r w:rsidR="005A44A8">
        <w:rPr>
          <w:rFonts w:asciiTheme="majorHAnsi" w:hAnsiTheme="majorHAnsi"/>
          <w:b/>
          <w:lang w:val="en-US"/>
        </w:rPr>
        <w:t xml:space="preserve"> it without </w:t>
      </w:r>
      <w:r w:rsidR="00DA5C5F">
        <w:rPr>
          <w:rFonts w:asciiTheme="majorHAnsi" w:hAnsiTheme="majorHAnsi"/>
          <w:b/>
          <w:lang w:val="en-US"/>
        </w:rPr>
        <w:t xml:space="preserve">consulting </w:t>
      </w:r>
      <w:r w:rsidRPr="008A6F10">
        <w:rPr>
          <w:rFonts w:asciiTheme="majorHAnsi" w:hAnsiTheme="majorHAnsi"/>
          <w:b/>
          <w:lang w:val="en-US"/>
        </w:rPr>
        <w:t xml:space="preserve">the opposition. </w:t>
      </w:r>
    </w:p>
    <w:p w:rsidR="006512B6" w:rsidRPr="008A6F10" w:rsidRDefault="009973FD" w:rsidP="001C1735">
      <w:pPr>
        <w:rPr>
          <w:rFonts w:asciiTheme="majorHAnsi" w:hAnsiTheme="majorHAnsi"/>
          <w:b/>
          <w:lang w:val="en-US"/>
        </w:rPr>
      </w:pPr>
      <w:r w:rsidRPr="008A6F10">
        <w:rPr>
          <w:rFonts w:asciiTheme="majorHAnsi" w:hAnsiTheme="majorHAnsi"/>
          <w:b/>
          <w:lang w:val="en-US"/>
        </w:rPr>
        <w:t>The new constitution</w:t>
      </w:r>
      <w:r w:rsidR="00D940BA" w:rsidRPr="008A6F10">
        <w:rPr>
          <w:rStyle w:val="Lbjegyzet-hivatkozs"/>
          <w:rFonts w:asciiTheme="majorHAnsi" w:hAnsiTheme="majorHAnsi"/>
          <w:b/>
          <w:lang w:val="en-US"/>
        </w:rPr>
        <w:footnoteReference w:id="2"/>
      </w:r>
    </w:p>
    <w:p w:rsidR="000277F7" w:rsidRDefault="00940FB5" w:rsidP="00940FB5">
      <w:pPr>
        <w:jc w:val="both"/>
        <w:rPr>
          <w:rFonts w:asciiTheme="majorHAnsi" w:hAnsiTheme="majorHAnsi"/>
          <w:lang w:val="en-US"/>
        </w:rPr>
      </w:pPr>
      <w:r>
        <w:rPr>
          <w:rFonts w:asciiTheme="majorHAnsi" w:hAnsiTheme="majorHAnsi"/>
          <w:lang w:val="en-US"/>
        </w:rPr>
        <w:t>The c</w:t>
      </w:r>
      <w:r w:rsidR="00731866" w:rsidRPr="008A6F10">
        <w:rPr>
          <w:rFonts w:asciiTheme="majorHAnsi" w:hAnsiTheme="majorHAnsi"/>
          <w:lang w:val="en-US"/>
        </w:rPr>
        <w:t xml:space="preserve">onstitution writing process </w:t>
      </w:r>
      <w:r w:rsidR="000277F7">
        <w:rPr>
          <w:rFonts w:asciiTheme="majorHAnsi" w:hAnsiTheme="majorHAnsi"/>
          <w:lang w:val="en-US"/>
        </w:rPr>
        <w:t xml:space="preserve">after the 2010 elections </w:t>
      </w:r>
      <w:r w:rsidR="00731866" w:rsidRPr="008A6F10">
        <w:rPr>
          <w:rFonts w:asciiTheme="majorHAnsi" w:hAnsiTheme="majorHAnsi"/>
          <w:lang w:val="en-US"/>
        </w:rPr>
        <w:t>was</w:t>
      </w:r>
      <w:r>
        <w:rPr>
          <w:rFonts w:asciiTheme="majorHAnsi" w:hAnsiTheme="majorHAnsi"/>
          <w:lang w:val="en-US"/>
        </w:rPr>
        <w:t xml:space="preserve"> extremely fast; the impossibility</w:t>
      </w:r>
      <w:r w:rsidR="003B3152">
        <w:rPr>
          <w:rFonts w:asciiTheme="majorHAnsi" w:hAnsiTheme="majorHAnsi"/>
          <w:lang w:val="en-US"/>
        </w:rPr>
        <w:t xml:space="preserve"> of a substantive </w:t>
      </w:r>
      <w:r w:rsidR="009973FD" w:rsidRPr="008A6F10">
        <w:rPr>
          <w:rFonts w:asciiTheme="majorHAnsi" w:hAnsiTheme="majorHAnsi"/>
          <w:lang w:val="en-US"/>
        </w:rPr>
        <w:t>discuss</w:t>
      </w:r>
      <w:r>
        <w:rPr>
          <w:rFonts w:asciiTheme="majorHAnsi" w:hAnsiTheme="majorHAnsi"/>
          <w:lang w:val="en-US"/>
        </w:rPr>
        <w:t>ion</w:t>
      </w:r>
      <w:r w:rsidR="003B3152">
        <w:rPr>
          <w:rFonts w:asciiTheme="majorHAnsi" w:hAnsiTheme="majorHAnsi"/>
          <w:lang w:val="en-US"/>
        </w:rPr>
        <w:t xml:space="preserve"> and public debate</w:t>
      </w:r>
      <w:r w:rsidR="000277F7">
        <w:rPr>
          <w:rFonts w:asciiTheme="majorHAnsi" w:hAnsiTheme="majorHAnsi"/>
          <w:lang w:val="en-US"/>
        </w:rPr>
        <w:t xml:space="preserve"> </w:t>
      </w:r>
      <w:r w:rsidR="00731866" w:rsidRPr="008A6F10">
        <w:rPr>
          <w:rFonts w:asciiTheme="majorHAnsi" w:hAnsiTheme="majorHAnsi"/>
          <w:lang w:val="en-US"/>
        </w:rPr>
        <w:t>resulted</w:t>
      </w:r>
      <w:r w:rsidR="009973FD" w:rsidRPr="008A6F10">
        <w:rPr>
          <w:rFonts w:asciiTheme="majorHAnsi" w:hAnsiTheme="majorHAnsi"/>
          <w:lang w:val="en-US"/>
        </w:rPr>
        <w:t xml:space="preserve"> in a </w:t>
      </w:r>
      <w:r>
        <w:rPr>
          <w:rFonts w:asciiTheme="majorHAnsi" w:hAnsiTheme="majorHAnsi"/>
          <w:lang w:val="en-US"/>
        </w:rPr>
        <w:t>legitimacy deficit</w:t>
      </w:r>
      <w:r w:rsidR="00A87503">
        <w:rPr>
          <w:rFonts w:asciiTheme="majorHAnsi" w:hAnsiTheme="majorHAnsi"/>
          <w:lang w:val="en-US"/>
        </w:rPr>
        <w:t>. The year-</w:t>
      </w:r>
      <w:r w:rsidR="009973FD" w:rsidRPr="008A6F10">
        <w:rPr>
          <w:rFonts w:asciiTheme="majorHAnsi" w:hAnsiTheme="majorHAnsi"/>
          <w:lang w:val="en-US"/>
        </w:rPr>
        <w:t>long period devot</w:t>
      </w:r>
      <w:r w:rsidR="00F344AB">
        <w:rPr>
          <w:rFonts w:asciiTheme="majorHAnsi" w:hAnsiTheme="majorHAnsi"/>
          <w:lang w:val="en-US"/>
        </w:rPr>
        <w:t>ed initially</w:t>
      </w:r>
      <w:r w:rsidR="009973FD" w:rsidRPr="008A6F10">
        <w:rPr>
          <w:rFonts w:asciiTheme="majorHAnsi" w:hAnsiTheme="majorHAnsi"/>
          <w:lang w:val="en-US"/>
        </w:rPr>
        <w:t xml:space="preserve"> to elaborate the “fundamental principles” of the Constitution was decreased to a</w:t>
      </w:r>
      <w:r w:rsidR="009431CB">
        <w:rPr>
          <w:rFonts w:asciiTheme="majorHAnsi" w:hAnsiTheme="majorHAnsi"/>
          <w:lang w:val="en-US"/>
        </w:rPr>
        <w:t xml:space="preserve"> few months by the Parliament</w:t>
      </w:r>
      <w:r w:rsidR="00A87503">
        <w:rPr>
          <w:rFonts w:asciiTheme="majorHAnsi" w:hAnsiTheme="majorHAnsi"/>
          <w:lang w:val="en-US"/>
        </w:rPr>
        <w:t xml:space="preserve">. </w:t>
      </w:r>
      <w:r w:rsidR="009973FD" w:rsidRPr="008A6F10">
        <w:rPr>
          <w:rFonts w:asciiTheme="majorHAnsi" w:hAnsiTheme="majorHAnsi"/>
          <w:lang w:val="en-US"/>
        </w:rPr>
        <w:t>The parliamentary debate on the draft began on 14 March 2011</w:t>
      </w:r>
      <w:r w:rsidR="00731866" w:rsidRPr="008A6F10">
        <w:rPr>
          <w:rFonts w:asciiTheme="majorHAnsi" w:hAnsiTheme="majorHAnsi"/>
          <w:lang w:val="en-US"/>
        </w:rPr>
        <w:t xml:space="preserve"> and the Fundamental Law was</w:t>
      </w:r>
      <w:r w:rsidR="00315836">
        <w:rPr>
          <w:rFonts w:asciiTheme="majorHAnsi" w:hAnsiTheme="majorHAnsi"/>
          <w:lang w:val="en-US"/>
        </w:rPr>
        <w:t xml:space="preserve"> adopted on 18 April 2011. The </w:t>
      </w:r>
      <w:r w:rsidR="00F344AB">
        <w:rPr>
          <w:rFonts w:asciiTheme="majorHAnsi" w:hAnsiTheme="majorHAnsi"/>
          <w:lang w:val="en-US"/>
        </w:rPr>
        <w:t xml:space="preserve">Fundamental Law </w:t>
      </w:r>
      <w:r w:rsidR="00A93CB3">
        <w:rPr>
          <w:rFonts w:asciiTheme="majorHAnsi" w:hAnsiTheme="majorHAnsi"/>
          <w:lang w:val="en-US"/>
        </w:rPr>
        <w:t>was ame</w:t>
      </w:r>
      <w:r w:rsidR="00315836">
        <w:rPr>
          <w:rFonts w:asciiTheme="majorHAnsi" w:hAnsiTheme="majorHAnsi"/>
          <w:lang w:val="en-US"/>
        </w:rPr>
        <w:t>nded five times</w:t>
      </w:r>
      <w:r w:rsidR="000277F7">
        <w:rPr>
          <w:rFonts w:asciiTheme="majorHAnsi" w:hAnsiTheme="majorHAnsi"/>
          <w:lang w:val="en-US"/>
        </w:rPr>
        <w:t xml:space="preserve"> </w:t>
      </w:r>
      <w:r w:rsidR="00894046">
        <w:rPr>
          <w:rFonts w:asciiTheme="majorHAnsi" w:hAnsiTheme="majorHAnsi"/>
          <w:lang w:val="en-US"/>
        </w:rPr>
        <w:t>i</w:t>
      </w:r>
      <w:r w:rsidR="00315836">
        <w:rPr>
          <w:rFonts w:asciiTheme="majorHAnsi" w:hAnsiTheme="majorHAnsi"/>
          <w:lang w:val="en-US"/>
        </w:rPr>
        <w:t>n the first 2.5 years of being in effect</w:t>
      </w:r>
      <w:r w:rsidR="000277F7">
        <w:rPr>
          <w:rFonts w:asciiTheme="majorHAnsi" w:hAnsiTheme="majorHAnsi"/>
          <w:lang w:val="en-US"/>
        </w:rPr>
        <w:t>.</w:t>
      </w:r>
    </w:p>
    <w:p w:rsidR="009973FD" w:rsidRPr="008A6F10" w:rsidRDefault="00D91CA1" w:rsidP="00940FB5">
      <w:pPr>
        <w:jc w:val="both"/>
        <w:rPr>
          <w:rFonts w:asciiTheme="majorHAnsi" w:hAnsiTheme="majorHAnsi"/>
          <w:b/>
          <w:lang w:val="en-US"/>
        </w:rPr>
      </w:pPr>
      <w:r w:rsidRPr="008A6F10">
        <w:rPr>
          <w:rFonts w:asciiTheme="majorHAnsi" w:hAnsiTheme="majorHAnsi"/>
          <w:b/>
          <w:lang w:val="en-US"/>
        </w:rPr>
        <w:t>Packing the Constitutional Court</w:t>
      </w:r>
      <w:r w:rsidR="00D940BA" w:rsidRPr="008A6F10">
        <w:rPr>
          <w:rStyle w:val="Lbjegyzet-hivatkozs"/>
          <w:rFonts w:asciiTheme="majorHAnsi" w:hAnsiTheme="majorHAnsi"/>
          <w:b/>
          <w:lang w:val="en-US"/>
        </w:rPr>
        <w:footnoteReference w:id="3"/>
      </w:r>
    </w:p>
    <w:p w:rsidR="00BD647B" w:rsidRPr="008A6F10" w:rsidRDefault="00056B92" w:rsidP="00940FB5">
      <w:pPr>
        <w:jc w:val="both"/>
        <w:rPr>
          <w:rFonts w:asciiTheme="majorHAnsi" w:hAnsiTheme="majorHAnsi"/>
          <w:lang w:val="en-US"/>
        </w:rPr>
      </w:pPr>
      <w:r>
        <w:rPr>
          <w:rFonts w:asciiTheme="majorHAnsi" w:hAnsiTheme="majorHAnsi"/>
          <w:lang w:val="en-US"/>
        </w:rPr>
        <w:t>I</w:t>
      </w:r>
      <w:r w:rsidR="005376DA">
        <w:rPr>
          <w:rFonts w:asciiTheme="majorHAnsi" w:hAnsiTheme="majorHAnsi"/>
          <w:lang w:val="en-US"/>
        </w:rPr>
        <w:t>n 2010, rules of the nomination of the Constitutional Court (CC)</w:t>
      </w:r>
      <w:r w:rsidR="005376DA">
        <w:rPr>
          <w:rStyle w:val="Lbjegyzet-hivatkozs"/>
          <w:rFonts w:asciiTheme="majorHAnsi" w:hAnsiTheme="majorHAnsi"/>
          <w:lang w:val="en-US"/>
        </w:rPr>
        <w:footnoteReference w:id="4"/>
      </w:r>
      <w:r w:rsidR="005376DA">
        <w:rPr>
          <w:rFonts w:asciiTheme="majorHAnsi" w:hAnsiTheme="majorHAnsi"/>
          <w:lang w:val="en-US"/>
        </w:rPr>
        <w:t xml:space="preserve"> changed fundamentally.</w:t>
      </w:r>
      <w:r w:rsidR="005376DA">
        <w:rPr>
          <w:rStyle w:val="Lbjegyzet-hivatkozs"/>
          <w:rFonts w:asciiTheme="majorHAnsi" w:hAnsiTheme="majorHAnsi"/>
          <w:lang w:val="en-US"/>
        </w:rPr>
        <w:footnoteReference w:id="5"/>
      </w:r>
      <w:r w:rsidR="005376DA">
        <w:rPr>
          <w:rFonts w:asciiTheme="majorHAnsi" w:hAnsiTheme="majorHAnsi"/>
          <w:lang w:val="en-US"/>
        </w:rPr>
        <w:t xml:space="preserve"> </w:t>
      </w:r>
      <w:r w:rsidR="00E500C7" w:rsidRPr="008A6F10">
        <w:rPr>
          <w:rFonts w:asciiTheme="majorHAnsi" w:hAnsiTheme="majorHAnsi"/>
          <w:lang w:val="en-US"/>
        </w:rPr>
        <w:t xml:space="preserve">Accordingly, if the governing party has a two-thirds majority, </w:t>
      </w:r>
      <w:r w:rsidR="000277F7">
        <w:rPr>
          <w:rFonts w:asciiTheme="majorHAnsi" w:hAnsiTheme="majorHAnsi"/>
          <w:lang w:val="en-US"/>
        </w:rPr>
        <w:t xml:space="preserve">as it happened in 2010-2014, </w:t>
      </w:r>
      <w:r w:rsidR="00E500C7" w:rsidRPr="008A6F10">
        <w:rPr>
          <w:rFonts w:asciiTheme="majorHAnsi" w:hAnsiTheme="majorHAnsi"/>
          <w:lang w:val="en-US"/>
        </w:rPr>
        <w:t>it can both no</w:t>
      </w:r>
      <w:r w:rsidR="002B2CB5">
        <w:rPr>
          <w:rFonts w:asciiTheme="majorHAnsi" w:hAnsiTheme="majorHAnsi"/>
          <w:lang w:val="en-US"/>
        </w:rPr>
        <w:t>minate and elect CC</w:t>
      </w:r>
      <w:r w:rsidR="00E500C7" w:rsidRPr="008A6F10">
        <w:rPr>
          <w:rFonts w:asciiTheme="majorHAnsi" w:hAnsiTheme="majorHAnsi"/>
          <w:lang w:val="en-US"/>
        </w:rPr>
        <w:t xml:space="preserve"> judges without the support of any of the opposition parties. </w:t>
      </w:r>
      <w:r w:rsidR="0099485A" w:rsidRPr="008A6F10">
        <w:rPr>
          <w:rFonts w:asciiTheme="majorHAnsi" w:hAnsiTheme="majorHAnsi"/>
          <w:lang w:val="en-US"/>
        </w:rPr>
        <w:t>Furthermor</w:t>
      </w:r>
      <w:r w:rsidR="002B2CB5">
        <w:rPr>
          <w:rFonts w:asciiTheme="majorHAnsi" w:hAnsiTheme="majorHAnsi"/>
          <w:lang w:val="en-US"/>
        </w:rPr>
        <w:t>e, the number of CC</w:t>
      </w:r>
      <w:r w:rsidR="0099485A" w:rsidRPr="008A6F10">
        <w:rPr>
          <w:rFonts w:asciiTheme="majorHAnsi" w:hAnsiTheme="majorHAnsi"/>
          <w:lang w:val="en-US"/>
        </w:rPr>
        <w:t xml:space="preserve"> judges has been increased from 11 to 15</w:t>
      </w:r>
      <w:r w:rsidR="00326EF3" w:rsidRPr="008A6F10">
        <w:rPr>
          <w:rFonts w:asciiTheme="majorHAnsi" w:hAnsiTheme="majorHAnsi"/>
          <w:lang w:val="en-US"/>
        </w:rPr>
        <w:t xml:space="preserve">; and </w:t>
      </w:r>
      <w:r w:rsidR="00971272" w:rsidRPr="008A6F10">
        <w:rPr>
          <w:rFonts w:asciiTheme="majorHAnsi" w:hAnsiTheme="majorHAnsi"/>
          <w:lang w:val="en-US"/>
        </w:rPr>
        <w:t xml:space="preserve">the </w:t>
      </w:r>
      <w:r w:rsidR="00326EF3" w:rsidRPr="008A6F10">
        <w:rPr>
          <w:rFonts w:asciiTheme="majorHAnsi" w:hAnsiTheme="majorHAnsi"/>
          <w:lang w:val="en-US"/>
        </w:rPr>
        <w:t>age</w:t>
      </w:r>
      <w:r w:rsidR="00943B29">
        <w:rPr>
          <w:rFonts w:asciiTheme="majorHAnsi" w:hAnsiTheme="majorHAnsi"/>
          <w:lang w:val="en-US"/>
        </w:rPr>
        <w:t xml:space="preserve"> limit for </w:t>
      </w:r>
      <w:r w:rsidR="00326EF3" w:rsidRPr="008A6F10">
        <w:rPr>
          <w:rFonts w:asciiTheme="majorHAnsi" w:hAnsiTheme="majorHAnsi"/>
          <w:lang w:val="en-US"/>
        </w:rPr>
        <w:t>judges was abolished also with regard to the</w:t>
      </w:r>
      <w:r w:rsidR="000277F7">
        <w:rPr>
          <w:rFonts w:asciiTheme="majorHAnsi" w:hAnsiTheme="majorHAnsi"/>
          <w:lang w:val="en-US"/>
        </w:rPr>
        <w:t xml:space="preserve"> </w:t>
      </w:r>
      <w:r w:rsidR="00971272" w:rsidRPr="008A6F10">
        <w:rPr>
          <w:rFonts w:asciiTheme="majorHAnsi" w:hAnsiTheme="majorHAnsi"/>
          <w:lang w:val="en-US"/>
        </w:rPr>
        <w:t>already electe</w:t>
      </w:r>
      <w:r w:rsidR="00256062">
        <w:rPr>
          <w:rFonts w:asciiTheme="majorHAnsi" w:hAnsiTheme="majorHAnsi"/>
          <w:lang w:val="en-US"/>
        </w:rPr>
        <w:t>d judges</w:t>
      </w:r>
      <w:r w:rsidR="00326EF3" w:rsidRPr="008A6F10">
        <w:rPr>
          <w:rFonts w:asciiTheme="majorHAnsi" w:hAnsiTheme="majorHAnsi"/>
          <w:lang w:val="en-US"/>
        </w:rPr>
        <w:t xml:space="preserve">. These steps </w:t>
      </w:r>
      <w:r w:rsidR="00971272" w:rsidRPr="008A6F10">
        <w:rPr>
          <w:rFonts w:asciiTheme="majorHAnsi" w:hAnsiTheme="majorHAnsi"/>
          <w:lang w:val="en-US"/>
        </w:rPr>
        <w:t>led</w:t>
      </w:r>
      <w:r w:rsidR="0099485A" w:rsidRPr="008A6F10">
        <w:rPr>
          <w:rFonts w:asciiTheme="majorHAnsi" w:hAnsiTheme="majorHAnsi"/>
          <w:lang w:val="en-US"/>
        </w:rPr>
        <w:t xml:space="preserve"> to a situation where 11 of the current 15 judges have been confirmed to the CC by the current</w:t>
      </w:r>
      <w:r w:rsidR="00943B29">
        <w:rPr>
          <w:rFonts w:asciiTheme="majorHAnsi" w:hAnsiTheme="majorHAnsi"/>
          <w:lang w:val="en-US"/>
        </w:rPr>
        <w:t xml:space="preserve"> governing majority without </w:t>
      </w:r>
      <w:r w:rsidR="0099485A" w:rsidRPr="008A6F10">
        <w:rPr>
          <w:rFonts w:asciiTheme="majorHAnsi" w:hAnsiTheme="majorHAnsi"/>
          <w:lang w:val="en-US"/>
        </w:rPr>
        <w:t>negotiations with the opposition.</w:t>
      </w:r>
      <w:r w:rsidR="00326EF3" w:rsidRPr="008A6F10">
        <w:rPr>
          <w:rFonts w:asciiTheme="majorHAnsi" w:hAnsiTheme="majorHAnsi"/>
          <w:lang w:val="en-US"/>
        </w:rPr>
        <w:t xml:space="preserve"> According to an NGO research, this also had </w:t>
      </w:r>
      <w:r w:rsidR="00F03C4F" w:rsidRPr="008A6F10">
        <w:rPr>
          <w:rFonts w:asciiTheme="majorHAnsi" w:hAnsiTheme="majorHAnsi"/>
          <w:lang w:val="en-US"/>
        </w:rPr>
        <w:t>a</w:t>
      </w:r>
      <w:r w:rsidR="002367B1" w:rsidRPr="008A6F10">
        <w:rPr>
          <w:rFonts w:asciiTheme="majorHAnsi" w:hAnsiTheme="majorHAnsi"/>
          <w:lang w:val="en-US"/>
        </w:rPr>
        <w:t xml:space="preserve"> detectable impact on the </w:t>
      </w:r>
      <w:r w:rsidR="002B2CB5">
        <w:rPr>
          <w:rFonts w:asciiTheme="majorHAnsi" w:hAnsiTheme="majorHAnsi"/>
          <w:lang w:val="en-US"/>
        </w:rPr>
        <w:t>CC</w:t>
      </w:r>
      <w:r w:rsidR="000277F7">
        <w:rPr>
          <w:rFonts w:asciiTheme="majorHAnsi" w:hAnsiTheme="majorHAnsi"/>
          <w:lang w:val="en-US"/>
        </w:rPr>
        <w:t xml:space="preserve"> </w:t>
      </w:r>
      <w:r w:rsidR="002367B1" w:rsidRPr="008A6F10">
        <w:rPr>
          <w:rFonts w:asciiTheme="majorHAnsi" w:hAnsiTheme="majorHAnsi"/>
          <w:lang w:val="en-US"/>
        </w:rPr>
        <w:t>decisio</w:t>
      </w:r>
      <w:r w:rsidR="00256062">
        <w:rPr>
          <w:rFonts w:asciiTheme="majorHAnsi" w:hAnsiTheme="majorHAnsi"/>
          <w:lang w:val="en-US"/>
        </w:rPr>
        <w:t>ns</w:t>
      </w:r>
      <w:r w:rsidR="002367B1" w:rsidRPr="008A6F10">
        <w:rPr>
          <w:rFonts w:asciiTheme="majorHAnsi" w:hAnsiTheme="majorHAnsi"/>
          <w:lang w:val="en-US"/>
        </w:rPr>
        <w:t>.</w:t>
      </w:r>
      <w:r w:rsidR="002367B1" w:rsidRPr="008A6F10">
        <w:rPr>
          <w:rStyle w:val="Lbjegyzet-hivatkozs"/>
          <w:rFonts w:asciiTheme="majorHAnsi" w:hAnsiTheme="majorHAnsi"/>
          <w:lang w:val="en-US"/>
        </w:rPr>
        <w:footnoteReference w:id="6"/>
      </w:r>
    </w:p>
    <w:p w:rsidR="0099580C" w:rsidRPr="008A6F10" w:rsidRDefault="00943B29" w:rsidP="00940FB5">
      <w:pPr>
        <w:jc w:val="both"/>
        <w:rPr>
          <w:rFonts w:asciiTheme="majorHAnsi" w:hAnsiTheme="majorHAnsi"/>
          <w:lang w:val="en-US"/>
        </w:rPr>
      </w:pPr>
      <w:r>
        <w:rPr>
          <w:rFonts w:asciiTheme="majorHAnsi" w:hAnsiTheme="majorHAnsi"/>
          <w:lang w:val="en-US"/>
        </w:rPr>
        <w:t>T</w:t>
      </w:r>
      <w:r w:rsidR="00E500C7" w:rsidRPr="008A6F10">
        <w:rPr>
          <w:rFonts w:asciiTheme="majorHAnsi" w:hAnsiTheme="majorHAnsi"/>
          <w:lang w:val="en-US"/>
        </w:rPr>
        <w:t>he Fourth Amendment</w:t>
      </w:r>
      <w:r w:rsidR="000277F7">
        <w:rPr>
          <w:rFonts w:asciiTheme="majorHAnsi" w:hAnsiTheme="majorHAnsi"/>
          <w:lang w:val="en-US"/>
        </w:rPr>
        <w:t xml:space="preserve"> </w:t>
      </w:r>
      <w:r w:rsidR="00296E10" w:rsidRPr="008A6F10">
        <w:rPr>
          <w:rFonts w:asciiTheme="majorHAnsi" w:hAnsiTheme="majorHAnsi"/>
          <w:lang w:val="en-US"/>
        </w:rPr>
        <w:t>to the Fundamental Law</w:t>
      </w:r>
      <w:r>
        <w:rPr>
          <w:rFonts w:asciiTheme="majorHAnsi" w:hAnsiTheme="majorHAnsi"/>
          <w:lang w:val="en-US"/>
        </w:rPr>
        <w:t xml:space="preserve"> continued </w:t>
      </w:r>
      <w:r w:rsidR="00256062">
        <w:rPr>
          <w:rFonts w:asciiTheme="majorHAnsi" w:hAnsiTheme="majorHAnsi"/>
          <w:lang w:val="en-US"/>
        </w:rPr>
        <w:t xml:space="preserve">the </w:t>
      </w:r>
      <w:r w:rsidR="00D443A6" w:rsidRPr="008A6F10">
        <w:rPr>
          <w:rFonts w:asciiTheme="majorHAnsi" w:hAnsiTheme="majorHAnsi"/>
          <w:lang w:val="en-US"/>
        </w:rPr>
        <w:t>practice to</w:t>
      </w:r>
      <w:r w:rsidR="00E500C7" w:rsidRPr="008A6F10">
        <w:rPr>
          <w:rFonts w:asciiTheme="majorHAnsi" w:hAnsiTheme="majorHAnsi"/>
          <w:lang w:val="en-US"/>
        </w:rPr>
        <w:t xml:space="preserve"> include provisions into the Fundamental Law of which the unconstitutionality was earlier es</w:t>
      </w:r>
      <w:r w:rsidR="002B2CB5">
        <w:rPr>
          <w:rFonts w:asciiTheme="majorHAnsi" w:hAnsiTheme="majorHAnsi"/>
          <w:lang w:val="en-US"/>
        </w:rPr>
        <w:t>tablished by the CC</w:t>
      </w:r>
      <w:r w:rsidR="00E500C7" w:rsidRPr="008A6F10">
        <w:rPr>
          <w:rFonts w:asciiTheme="majorHAnsi" w:hAnsiTheme="majorHAnsi"/>
          <w:lang w:val="en-US"/>
        </w:rPr>
        <w:t>.</w:t>
      </w:r>
      <w:r w:rsidR="0099580C" w:rsidRPr="008A6F10">
        <w:rPr>
          <w:rStyle w:val="Lbjegyzet-hivatkozs"/>
          <w:rFonts w:asciiTheme="majorHAnsi" w:hAnsiTheme="majorHAnsi"/>
          <w:lang w:val="en-US"/>
        </w:rPr>
        <w:footnoteReference w:id="7"/>
      </w:r>
      <w:r>
        <w:rPr>
          <w:rFonts w:asciiTheme="majorHAnsi" w:hAnsiTheme="majorHAnsi"/>
          <w:lang w:val="en-US"/>
        </w:rPr>
        <w:t xml:space="preserve"> Furthermore</w:t>
      </w:r>
      <w:r w:rsidR="00E500C7" w:rsidRPr="008A6F10">
        <w:rPr>
          <w:rFonts w:asciiTheme="majorHAnsi" w:hAnsiTheme="majorHAnsi"/>
          <w:lang w:val="en-US"/>
        </w:rPr>
        <w:t xml:space="preserve">, </w:t>
      </w:r>
      <w:r>
        <w:rPr>
          <w:rFonts w:asciiTheme="majorHAnsi" w:hAnsiTheme="majorHAnsi"/>
          <w:lang w:val="en-US"/>
        </w:rPr>
        <w:t xml:space="preserve">the Fourth Amendment </w:t>
      </w:r>
      <w:r w:rsidR="00E500C7" w:rsidRPr="008A6F10">
        <w:rPr>
          <w:rFonts w:asciiTheme="majorHAnsi" w:hAnsiTheme="majorHAnsi"/>
          <w:lang w:val="en-US"/>
        </w:rPr>
        <w:t>excluded the in-merit constitutional review of amendments to the Fundamental Law by</w:t>
      </w:r>
      <w:r w:rsidR="002B2CB5">
        <w:rPr>
          <w:rFonts w:asciiTheme="majorHAnsi" w:hAnsiTheme="majorHAnsi"/>
          <w:lang w:val="en-US"/>
        </w:rPr>
        <w:t xml:space="preserve"> the CC</w:t>
      </w:r>
      <w:r w:rsidR="000277F7">
        <w:rPr>
          <w:rFonts w:asciiTheme="majorHAnsi" w:hAnsiTheme="majorHAnsi"/>
          <w:lang w:val="en-US"/>
        </w:rPr>
        <w:t>. T</w:t>
      </w:r>
      <w:r w:rsidR="00E500C7" w:rsidRPr="008A6F10">
        <w:rPr>
          <w:rFonts w:asciiTheme="majorHAnsi" w:hAnsiTheme="majorHAnsi"/>
          <w:lang w:val="en-US"/>
        </w:rPr>
        <w:t>he Fourth A</w:t>
      </w:r>
      <w:r w:rsidR="00366950">
        <w:rPr>
          <w:rFonts w:asciiTheme="majorHAnsi" w:hAnsiTheme="majorHAnsi"/>
          <w:lang w:val="en-US"/>
        </w:rPr>
        <w:t xml:space="preserve">mendment </w:t>
      </w:r>
      <w:r w:rsidR="00E500C7" w:rsidRPr="008A6F10">
        <w:rPr>
          <w:rFonts w:asciiTheme="majorHAnsi" w:hAnsiTheme="majorHAnsi"/>
          <w:lang w:val="en-US"/>
        </w:rPr>
        <w:t>formally “decla</w:t>
      </w:r>
      <w:r w:rsidR="002B2CB5">
        <w:rPr>
          <w:rFonts w:asciiTheme="majorHAnsi" w:hAnsiTheme="majorHAnsi"/>
          <w:lang w:val="en-US"/>
        </w:rPr>
        <w:t>red void” the decisions of the CC</w:t>
      </w:r>
      <w:r w:rsidR="00E500C7" w:rsidRPr="008A6F10">
        <w:rPr>
          <w:rFonts w:asciiTheme="majorHAnsi" w:hAnsiTheme="majorHAnsi"/>
          <w:lang w:val="en-US"/>
        </w:rPr>
        <w:t xml:space="preserve"> adopted prior to the entering into force of the Fundamental Law. </w:t>
      </w:r>
      <w:r w:rsidR="002B2CB5">
        <w:rPr>
          <w:rFonts w:asciiTheme="majorHAnsi" w:hAnsiTheme="majorHAnsi"/>
          <w:lang w:val="en-US"/>
        </w:rPr>
        <w:t>The CC</w:t>
      </w:r>
      <w:r w:rsidR="0099580C" w:rsidRPr="008A6F10">
        <w:rPr>
          <w:rFonts w:asciiTheme="majorHAnsi" w:hAnsiTheme="majorHAnsi"/>
          <w:lang w:val="en-US"/>
        </w:rPr>
        <w:t xml:space="preserve">’s competence has been restricted by the Fundamental Law in relation to laws on certain economic matters (central budget, taxes, etc.), meaning </w:t>
      </w:r>
      <w:r w:rsidR="0099580C" w:rsidRPr="008A6F10">
        <w:rPr>
          <w:rFonts w:asciiTheme="majorHAnsi" w:hAnsiTheme="majorHAnsi"/>
          <w:lang w:val="en-US"/>
        </w:rPr>
        <w:lastRenderedPageBreak/>
        <w:t>that these laws are exempt from constitutional review until the state debt of Hungary falls below 50% of the GDP.</w:t>
      </w:r>
      <w:r w:rsidR="00296E10" w:rsidRPr="008A6F10">
        <w:rPr>
          <w:rStyle w:val="Lbjegyzet-hivatkozs"/>
          <w:rFonts w:asciiTheme="majorHAnsi" w:hAnsiTheme="majorHAnsi"/>
          <w:lang w:val="en-US"/>
        </w:rPr>
        <w:footnoteReference w:id="8"/>
      </w:r>
    </w:p>
    <w:p w:rsidR="00E500C7" w:rsidRPr="008A6F10" w:rsidRDefault="00ED5363" w:rsidP="00940FB5">
      <w:pPr>
        <w:jc w:val="both"/>
        <w:rPr>
          <w:rFonts w:asciiTheme="majorHAnsi" w:hAnsiTheme="majorHAnsi"/>
          <w:lang w:val="en-US"/>
        </w:rPr>
      </w:pPr>
      <w:r>
        <w:rPr>
          <w:rFonts w:asciiTheme="majorHAnsi" w:hAnsiTheme="majorHAnsi"/>
          <w:lang w:val="en-US"/>
        </w:rPr>
        <w:t xml:space="preserve">The </w:t>
      </w:r>
      <w:r w:rsidR="00F1506E">
        <w:rPr>
          <w:rFonts w:asciiTheme="majorHAnsi" w:hAnsiTheme="majorHAnsi"/>
          <w:lang w:val="en-US"/>
        </w:rPr>
        <w:t xml:space="preserve">changes described above </w:t>
      </w:r>
      <w:r w:rsidR="00E500C7" w:rsidRPr="008A6F10">
        <w:rPr>
          <w:rFonts w:asciiTheme="majorHAnsi" w:hAnsiTheme="majorHAnsi"/>
          <w:lang w:val="en-US"/>
        </w:rPr>
        <w:t>finally led to a situation where the Fundamental Law and the Con</w:t>
      </w:r>
      <w:r w:rsidR="00F1506E">
        <w:rPr>
          <w:rFonts w:asciiTheme="majorHAnsi" w:hAnsiTheme="majorHAnsi"/>
          <w:lang w:val="en-US"/>
        </w:rPr>
        <w:t xml:space="preserve">stitutional Court are not </w:t>
      </w:r>
      <w:r w:rsidR="00E500C7" w:rsidRPr="008A6F10">
        <w:rPr>
          <w:rFonts w:asciiTheme="majorHAnsi" w:hAnsiTheme="majorHAnsi"/>
          <w:lang w:val="en-US"/>
        </w:rPr>
        <w:t xml:space="preserve">able to </w:t>
      </w:r>
      <w:r w:rsidR="000277F7" w:rsidRPr="008A6F10">
        <w:rPr>
          <w:rFonts w:asciiTheme="majorHAnsi" w:hAnsiTheme="majorHAnsi"/>
          <w:lang w:val="en-US"/>
        </w:rPr>
        <w:t>fulfill</w:t>
      </w:r>
      <w:r w:rsidR="00E500C7" w:rsidRPr="008A6F10">
        <w:rPr>
          <w:rFonts w:asciiTheme="majorHAnsi" w:hAnsiTheme="majorHAnsi"/>
          <w:lang w:val="en-US"/>
        </w:rPr>
        <w:t xml:space="preserve"> their basic function of limiting the Gov</w:t>
      </w:r>
      <w:r w:rsidR="00F344AB">
        <w:rPr>
          <w:rFonts w:asciiTheme="majorHAnsi" w:hAnsiTheme="majorHAnsi"/>
          <w:lang w:val="en-US"/>
        </w:rPr>
        <w:t>ernment in a constitutional way</w:t>
      </w:r>
      <w:r w:rsidR="00E500C7" w:rsidRPr="008A6F10">
        <w:rPr>
          <w:rFonts w:asciiTheme="majorHAnsi" w:hAnsiTheme="majorHAnsi"/>
          <w:lang w:val="en-US"/>
        </w:rPr>
        <w:t>.</w:t>
      </w:r>
    </w:p>
    <w:p w:rsidR="009973FD" w:rsidRPr="008A6F10" w:rsidRDefault="00640579" w:rsidP="00940FB5">
      <w:pPr>
        <w:jc w:val="both"/>
        <w:rPr>
          <w:rFonts w:asciiTheme="majorHAnsi" w:hAnsiTheme="majorHAnsi"/>
          <w:b/>
          <w:lang w:val="en-US"/>
        </w:rPr>
      </w:pPr>
      <w:r w:rsidRPr="008A6F10">
        <w:rPr>
          <w:rFonts w:asciiTheme="majorHAnsi" w:hAnsiTheme="majorHAnsi"/>
          <w:b/>
          <w:lang w:val="en-US"/>
        </w:rPr>
        <w:t>The courts</w:t>
      </w:r>
      <w:r w:rsidR="00D940BA" w:rsidRPr="008A6F10">
        <w:rPr>
          <w:rStyle w:val="Lbjegyzet-hivatkozs"/>
          <w:rFonts w:asciiTheme="majorHAnsi" w:hAnsiTheme="majorHAnsi"/>
          <w:b/>
          <w:lang w:val="en-US"/>
        </w:rPr>
        <w:footnoteReference w:id="9"/>
      </w:r>
    </w:p>
    <w:p w:rsidR="0099580C" w:rsidRPr="008A6F10" w:rsidRDefault="00203D1F" w:rsidP="00940FB5">
      <w:pPr>
        <w:jc w:val="both"/>
        <w:rPr>
          <w:rFonts w:asciiTheme="majorHAnsi" w:hAnsiTheme="majorHAnsi"/>
          <w:lang w:val="en-US"/>
        </w:rPr>
      </w:pPr>
      <w:r w:rsidRPr="008A6F10">
        <w:rPr>
          <w:rFonts w:asciiTheme="majorHAnsi" w:hAnsiTheme="majorHAnsi"/>
          <w:lang w:val="en-US"/>
        </w:rPr>
        <w:t>The administration of courts became fully centralized; the former judicial body in charge of administrating courts was replaced by a one-person decision-making mechanism, the President of the newly established National Judicial Office (NJO). Following criticis</w:t>
      </w:r>
      <w:r w:rsidR="00014C42">
        <w:rPr>
          <w:rFonts w:asciiTheme="majorHAnsi" w:hAnsiTheme="majorHAnsi"/>
          <w:lang w:val="en-US"/>
        </w:rPr>
        <w:t xml:space="preserve">m by many </w:t>
      </w:r>
      <w:r w:rsidRPr="008A6F10">
        <w:rPr>
          <w:rFonts w:asciiTheme="majorHAnsi" w:hAnsiTheme="majorHAnsi"/>
          <w:lang w:val="en-US"/>
        </w:rPr>
        <w:t>stakeholders concerning the NJO President’s extensive powers and its non-transparent and uncontrolled decision-making, the status of the NJO President was re-regulated and it</w:t>
      </w:r>
      <w:r w:rsidR="00014C42">
        <w:rPr>
          <w:rFonts w:asciiTheme="majorHAnsi" w:hAnsiTheme="majorHAnsi"/>
          <w:lang w:val="en-US"/>
        </w:rPr>
        <w:t>s powers were partly restricted. However,</w:t>
      </w:r>
      <w:r w:rsidRPr="008A6F10">
        <w:rPr>
          <w:rFonts w:asciiTheme="majorHAnsi" w:hAnsiTheme="majorHAnsi"/>
          <w:lang w:val="en-US"/>
        </w:rPr>
        <w:t xml:space="preserve"> some of the related problems remained unsolved</w:t>
      </w:r>
      <w:r w:rsidR="00ED5363">
        <w:rPr>
          <w:rFonts w:asciiTheme="majorHAnsi" w:hAnsiTheme="majorHAnsi"/>
          <w:lang w:val="en-US"/>
        </w:rPr>
        <w:t>,</w:t>
      </w:r>
      <w:r w:rsidR="00ED5363">
        <w:rPr>
          <w:rStyle w:val="Lbjegyzet-hivatkozs"/>
          <w:rFonts w:asciiTheme="majorHAnsi" w:hAnsiTheme="majorHAnsi"/>
          <w:lang w:val="en-US"/>
        </w:rPr>
        <w:footnoteReference w:id="10"/>
      </w:r>
      <w:r w:rsidR="006C099D">
        <w:rPr>
          <w:rFonts w:asciiTheme="majorHAnsi" w:hAnsiTheme="majorHAnsi"/>
          <w:lang w:val="en-US"/>
        </w:rPr>
        <w:t xml:space="preserve"> </w:t>
      </w:r>
      <w:r w:rsidR="00ED5363">
        <w:rPr>
          <w:rFonts w:asciiTheme="majorHAnsi" w:hAnsiTheme="majorHAnsi"/>
          <w:lang w:val="en-US"/>
        </w:rPr>
        <w:t xml:space="preserve">and </w:t>
      </w:r>
      <w:r w:rsidRPr="008A6F10">
        <w:rPr>
          <w:rFonts w:asciiTheme="majorHAnsi" w:hAnsiTheme="majorHAnsi"/>
          <w:lang w:val="en-US"/>
        </w:rPr>
        <w:t>neither of the amendments eliminated the basic concern that significant decisions may be made by an “external actor from the viewpoint of the judiciary” which “cannot be regarded as an org</w:t>
      </w:r>
      <w:r w:rsidR="005212F6">
        <w:rPr>
          <w:rFonts w:asciiTheme="majorHAnsi" w:hAnsiTheme="majorHAnsi"/>
          <w:lang w:val="en-US"/>
        </w:rPr>
        <w:t>an of judicial self-government”</w:t>
      </w:r>
      <w:r w:rsidR="005212F6">
        <w:rPr>
          <w:rStyle w:val="Lbjegyzet-hivatkozs"/>
          <w:rFonts w:asciiTheme="majorHAnsi" w:hAnsiTheme="majorHAnsi"/>
          <w:lang w:val="en-US"/>
        </w:rPr>
        <w:footnoteReference w:id="11"/>
      </w:r>
      <w:r w:rsidRPr="008A6F10">
        <w:rPr>
          <w:rFonts w:asciiTheme="majorHAnsi" w:hAnsiTheme="majorHAnsi"/>
          <w:lang w:val="en-US"/>
        </w:rPr>
        <w:t>.</w:t>
      </w:r>
      <w:r w:rsidR="009973FD" w:rsidRPr="008A6F10">
        <w:rPr>
          <w:rFonts w:asciiTheme="majorHAnsi" w:hAnsiTheme="majorHAnsi"/>
          <w:lang w:val="en-US"/>
        </w:rPr>
        <w:t>The mandate of the President of the Supreme Court was terminated bef</w:t>
      </w:r>
      <w:r w:rsidR="00C55A18">
        <w:rPr>
          <w:rFonts w:asciiTheme="majorHAnsi" w:hAnsiTheme="majorHAnsi"/>
          <w:lang w:val="en-US"/>
        </w:rPr>
        <w:t>ore the end of the regular term; i</w:t>
      </w:r>
      <w:r w:rsidR="00E500C7" w:rsidRPr="008A6F10">
        <w:rPr>
          <w:rFonts w:asciiTheme="majorHAnsi" w:hAnsiTheme="majorHAnsi"/>
          <w:lang w:val="en-US"/>
        </w:rPr>
        <w:t>n 2014</w:t>
      </w:r>
      <w:r w:rsidR="006C099D">
        <w:rPr>
          <w:rFonts w:asciiTheme="majorHAnsi" w:hAnsiTheme="majorHAnsi"/>
          <w:lang w:val="en-US"/>
        </w:rPr>
        <w:t xml:space="preserve"> </w:t>
      </w:r>
      <w:r w:rsidR="00E500C7" w:rsidRPr="008A6F10">
        <w:rPr>
          <w:rFonts w:asciiTheme="majorHAnsi" w:hAnsiTheme="majorHAnsi"/>
          <w:lang w:val="en-US"/>
        </w:rPr>
        <w:t xml:space="preserve">the European Court of Human Rights concluded </w:t>
      </w:r>
      <w:r w:rsidR="00C55A18">
        <w:rPr>
          <w:rFonts w:asciiTheme="majorHAnsi" w:hAnsiTheme="majorHAnsi"/>
          <w:lang w:val="en-US"/>
        </w:rPr>
        <w:t xml:space="preserve">that </w:t>
      </w:r>
      <w:r w:rsidR="00E500C7" w:rsidRPr="008A6F10">
        <w:rPr>
          <w:rFonts w:asciiTheme="majorHAnsi" w:hAnsiTheme="majorHAnsi"/>
          <w:lang w:val="en-US"/>
        </w:rPr>
        <w:t>Hungary was in breach of the European Conve</w:t>
      </w:r>
      <w:r w:rsidR="00C55A18">
        <w:rPr>
          <w:rFonts w:asciiTheme="majorHAnsi" w:hAnsiTheme="majorHAnsi"/>
          <w:lang w:val="en-US"/>
        </w:rPr>
        <w:t>ntion on Human Rights due to this</w:t>
      </w:r>
      <w:r w:rsidR="00E500C7" w:rsidRPr="008A6F10">
        <w:rPr>
          <w:rFonts w:asciiTheme="majorHAnsi" w:hAnsiTheme="majorHAnsi"/>
          <w:lang w:val="en-US"/>
        </w:rPr>
        <w:t xml:space="preserve"> premature </w:t>
      </w:r>
      <w:r w:rsidR="00C55A18">
        <w:rPr>
          <w:rFonts w:asciiTheme="majorHAnsi" w:hAnsiTheme="majorHAnsi"/>
          <w:lang w:val="en-US"/>
        </w:rPr>
        <w:t>termination</w:t>
      </w:r>
      <w:r w:rsidR="00E500C7" w:rsidRPr="008A6F10">
        <w:rPr>
          <w:rFonts w:asciiTheme="majorHAnsi" w:hAnsiTheme="majorHAnsi"/>
          <w:lang w:val="en-US"/>
        </w:rPr>
        <w:t>.</w:t>
      </w:r>
      <w:r w:rsidR="0099580C" w:rsidRPr="008A6F10">
        <w:rPr>
          <w:rFonts w:asciiTheme="majorHAnsi" w:hAnsiTheme="majorHAnsi"/>
          <w:lang w:val="en-US"/>
        </w:rPr>
        <w:t xml:space="preserve"> By lowering the mandatory retirement age of judges, which affected a significant number of judges serving at higher courts and leaders of higher courts and was deemed as a violation of the respective EU directive by the Court </w:t>
      </w:r>
      <w:r w:rsidR="00014C42">
        <w:rPr>
          <w:rFonts w:asciiTheme="majorHAnsi" w:hAnsiTheme="majorHAnsi"/>
          <w:lang w:val="en-US"/>
        </w:rPr>
        <w:t>of Justice of the EU</w:t>
      </w:r>
      <w:r w:rsidR="0099580C" w:rsidRPr="008A6F10">
        <w:rPr>
          <w:rFonts w:asciiTheme="majorHAnsi" w:hAnsiTheme="majorHAnsi"/>
          <w:lang w:val="en-US"/>
        </w:rPr>
        <w:t xml:space="preserve">, </w:t>
      </w:r>
      <w:r w:rsidR="0099580C" w:rsidRPr="008A6F10">
        <w:rPr>
          <w:rFonts w:asciiTheme="majorHAnsi" w:hAnsiTheme="majorHAnsi"/>
          <w:bCs/>
          <w:lang w:val="en-US"/>
        </w:rPr>
        <w:t>the governing majority coul</w:t>
      </w:r>
      <w:r w:rsidR="00C55A18">
        <w:rPr>
          <w:rFonts w:asciiTheme="majorHAnsi" w:hAnsiTheme="majorHAnsi"/>
          <w:bCs/>
          <w:lang w:val="en-US"/>
        </w:rPr>
        <w:t xml:space="preserve">d replace practically the </w:t>
      </w:r>
      <w:r w:rsidR="0099580C" w:rsidRPr="008A6F10">
        <w:rPr>
          <w:rFonts w:asciiTheme="majorHAnsi" w:hAnsiTheme="majorHAnsi"/>
          <w:bCs/>
          <w:lang w:val="en-US"/>
        </w:rPr>
        <w:t>leadership of the judiciary</w:t>
      </w:r>
      <w:r w:rsidR="0099580C" w:rsidRPr="008A6F10">
        <w:rPr>
          <w:rFonts w:asciiTheme="majorHAnsi" w:hAnsiTheme="majorHAnsi"/>
          <w:lang w:val="en-US"/>
        </w:rPr>
        <w:t>.</w:t>
      </w:r>
    </w:p>
    <w:p w:rsidR="00640579" w:rsidRPr="008A6F10" w:rsidRDefault="00640579" w:rsidP="00940FB5">
      <w:pPr>
        <w:jc w:val="both"/>
        <w:rPr>
          <w:rFonts w:asciiTheme="majorHAnsi" w:hAnsiTheme="majorHAnsi"/>
          <w:b/>
          <w:lang w:val="en-US"/>
        </w:rPr>
      </w:pPr>
      <w:r w:rsidRPr="008A6F10">
        <w:rPr>
          <w:rFonts w:asciiTheme="majorHAnsi" w:hAnsiTheme="majorHAnsi"/>
          <w:b/>
          <w:lang w:val="en-US"/>
        </w:rPr>
        <w:t>Changes in the ombudsperson system</w:t>
      </w:r>
      <w:r w:rsidR="00D940BA" w:rsidRPr="008A6F10">
        <w:rPr>
          <w:rStyle w:val="Lbjegyzet-hivatkozs"/>
          <w:rFonts w:asciiTheme="majorHAnsi" w:hAnsiTheme="majorHAnsi"/>
          <w:b/>
          <w:lang w:val="en-US"/>
        </w:rPr>
        <w:footnoteReference w:id="12"/>
      </w:r>
    </w:p>
    <w:p w:rsidR="00C201EF" w:rsidRPr="008A6F10" w:rsidRDefault="00640579" w:rsidP="00940FB5">
      <w:pPr>
        <w:jc w:val="both"/>
        <w:rPr>
          <w:rFonts w:asciiTheme="majorHAnsi" w:hAnsiTheme="majorHAnsi"/>
          <w:lang w:val="en-US"/>
        </w:rPr>
      </w:pPr>
      <w:r w:rsidRPr="008A6F10">
        <w:rPr>
          <w:rFonts w:asciiTheme="majorHAnsi" w:hAnsiTheme="majorHAnsi"/>
          <w:lang w:val="en-US"/>
        </w:rPr>
        <w:t>T</w:t>
      </w:r>
      <w:r w:rsidR="009973FD" w:rsidRPr="008A6F10">
        <w:rPr>
          <w:rFonts w:asciiTheme="majorHAnsi" w:hAnsiTheme="majorHAnsi"/>
          <w:lang w:val="en-US"/>
        </w:rPr>
        <w:t>he former four Ombudspersons (Parliamentary Commissioners) have been replaced by one, which decreases the level of protection in relation to certain rights</w:t>
      </w:r>
      <w:r w:rsidR="000263AC" w:rsidRPr="008A6F10">
        <w:rPr>
          <w:rFonts w:asciiTheme="majorHAnsi" w:hAnsiTheme="majorHAnsi"/>
          <w:lang w:val="en-US"/>
        </w:rPr>
        <w:t>.</w:t>
      </w:r>
    </w:p>
    <w:p w:rsidR="00CD19EE" w:rsidRPr="008A6F10" w:rsidRDefault="00C201EF" w:rsidP="00940FB5">
      <w:pPr>
        <w:jc w:val="both"/>
        <w:rPr>
          <w:rFonts w:asciiTheme="majorHAnsi" w:hAnsiTheme="majorHAnsi"/>
          <w:lang w:val="en-US"/>
        </w:rPr>
      </w:pPr>
      <w:r w:rsidRPr="008A6F10">
        <w:rPr>
          <w:rFonts w:asciiTheme="majorHAnsi" w:hAnsiTheme="majorHAnsi"/>
          <w:lang w:val="en-US"/>
        </w:rPr>
        <w:t>The tasks of the</w:t>
      </w:r>
      <w:r w:rsidR="00860BF0" w:rsidRPr="008A6F10">
        <w:rPr>
          <w:rFonts w:asciiTheme="majorHAnsi" w:hAnsiTheme="majorHAnsi"/>
          <w:lang w:val="en-US"/>
        </w:rPr>
        <w:t xml:space="preserve"> former</w:t>
      </w:r>
      <w:r w:rsidRPr="008A6F10">
        <w:rPr>
          <w:rFonts w:asciiTheme="majorHAnsi" w:hAnsiTheme="majorHAnsi"/>
          <w:lang w:val="en-US"/>
        </w:rPr>
        <w:t xml:space="preserve"> Data Protection Com</w:t>
      </w:r>
      <w:r w:rsidR="00860BF0" w:rsidRPr="008A6F10">
        <w:rPr>
          <w:rFonts w:asciiTheme="majorHAnsi" w:hAnsiTheme="majorHAnsi"/>
          <w:lang w:val="en-US"/>
        </w:rPr>
        <w:t>missioner were undertaken by a</w:t>
      </w:r>
      <w:r w:rsidRPr="008A6F10">
        <w:rPr>
          <w:rFonts w:asciiTheme="majorHAnsi" w:hAnsiTheme="majorHAnsi"/>
          <w:lang w:val="en-US"/>
        </w:rPr>
        <w:t xml:space="preserve"> newly established </w:t>
      </w:r>
      <w:r w:rsidR="00860BF0" w:rsidRPr="008A6F10">
        <w:rPr>
          <w:rFonts w:asciiTheme="majorHAnsi" w:hAnsiTheme="majorHAnsi"/>
          <w:bCs/>
          <w:lang w:val="en-US"/>
        </w:rPr>
        <w:t>a</w:t>
      </w:r>
      <w:r w:rsidRPr="008A6F10">
        <w:rPr>
          <w:rFonts w:asciiTheme="majorHAnsi" w:hAnsiTheme="majorHAnsi"/>
          <w:bCs/>
          <w:lang w:val="en-US"/>
        </w:rPr>
        <w:t>uthority</w:t>
      </w:r>
      <w:r w:rsidR="00860BF0" w:rsidRPr="008A6F10">
        <w:rPr>
          <w:rFonts w:asciiTheme="majorHAnsi" w:hAnsiTheme="majorHAnsi"/>
          <w:bCs/>
          <w:lang w:val="en-US"/>
        </w:rPr>
        <w:t xml:space="preserve">, which </w:t>
      </w:r>
      <w:r w:rsidR="00D443A6" w:rsidRPr="008A6F10">
        <w:rPr>
          <w:rFonts w:asciiTheme="majorHAnsi" w:hAnsiTheme="majorHAnsi"/>
          <w:bCs/>
          <w:lang w:val="en-US"/>
        </w:rPr>
        <w:t>d</w:t>
      </w:r>
      <w:r w:rsidR="00860BF0" w:rsidRPr="008A6F10">
        <w:rPr>
          <w:rFonts w:asciiTheme="majorHAnsi" w:hAnsiTheme="majorHAnsi"/>
          <w:lang w:val="en-US"/>
        </w:rPr>
        <w:t>oes not comply with the requirement of independence</w:t>
      </w:r>
      <w:r w:rsidR="00D443A6" w:rsidRPr="008A6F10">
        <w:rPr>
          <w:rFonts w:asciiTheme="majorHAnsi" w:hAnsiTheme="majorHAnsi"/>
          <w:lang w:val="en-US"/>
        </w:rPr>
        <w:t>.</w:t>
      </w:r>
      <w:r w:rsidR="00D1660E" w:rsidRPr="008A6F10">
        <w:rPr>
          <w:rStyle w:val="Lbjegyzet-hivatkozs"/>
          <w:rFonts w:asciiTheme="majorHAnsi" w:hAnsiTheme="majorHAnsi"/>
          <w:lang w:val="en-US"/>
        </w:rPr>
        <w:footnoteReference w:id="13"/>
      </w:r>
      <w:r w:rsidR="006C099D">
        <w:rPr>
          <w:rFonts w:asciiTheme="majorHAnsi" w:hAnsiTheme="majorHAnsi"/>
          <w:lang w:val="en-US"/>
        </w:rPr>
        <w:t xml:space="preserve"> </w:t>
      </w:r>
      <w:r w:rsidR="000263AC" w:rsidRPr="008A6F10">
        <w:rPr>
          <w:rFonts w:asciiTheme="majorHAnsi" w:hAnsiTheme="majorHAnsi"/>
          <w:lang w:val="en-US"/>
        </w:rPr>
        <w:t xml:space="preserve">The </w:t>
      </w:r>
      <w:r w:rsidR="000A5029" w:rsidRPr="008A6F10">
        <w:rPr>
          <w:rFonts w:asciiTheme="majorHAnsi" w:hAnsiTheme="majorHAnsi"/>
          <w:lang w:val="en-US"/>
        </w:rPr>
        <w:t xml:space="preserve">former </w:t>
      </w:r>
      <w:r w:rsidR="000263AC" w:rsidRPr="008A6F10">
        <w:rPr>
          <w:rFonts w:asciiTheme="majorHAnsi" w:hAnsiTheme="majorHAnsi"/>
          <w:lang w:val="en-US"/>
        </w:rPr>
        <w:t>Ombudspersons’ mandate was also terminated before the end of the</w:t>
      </w:r>
      <w:r w:rsidR="000A5029" w:rsidRPr="008A6F10">
        <w:rPr>
          <w:rFonts w:asciiTheme="majorHAnsi" w:hAnsiTheme="majorHAnsi"/>
          <w:lang w:val="en-US"/>
        </w:rPr>
        <w:t>ir</w:t>
      </w:r>
      <w:r w:rsidR="005466C0">
        <w:rPr>
          <w:rFonts w:asciiTheme="majorHAnsi" w:hAnsiTheme="majorHAnsi"/>
          <w:lang w:val="en-US"/>
        </w:rPr>
        <w:t xml:space="preserve"> term of office. W</w:t>
      </w:r>
      <w:r w:rsidR="000263AC" w:rsidRPr="008A6F10">
        <w:rPr>
          <w:rFonts w:asciiTheme="majorHAnsi" w:hAnsiTheme="majorHAnsi"/>
          <w:lang w:val="en-US"/>
        </w:rPr>
        <w:t xml:space="preserve">ith regard to the premature termination of the Data Protection Commissioner’s mandate </w:t>
      </w:r>
      <w:r w:rsidR="00241205" w:rsidRPr="008A6F10">
        <w:rPr>
          <w:rFonts w:asciiTheme="majorHAnsi" w:hAnsiTheme="majorHAnsi"/>
          <w:lang w:val="en-US"/>
        </w:rPr>
        <w:t xml:space="preserve">the </w:t>
      </w:r>
      <w:r w:rsidR="000263AC" w:rsidRPr="008A6F10">
        <w:rPr>
          <w:rFonts w:asciiTheme="majorHAnsi" w:hAnsiTheme="majorHAnsi"/>
          <w:bCs/>
          <w:lang w:val="en-US"/>
        </w:rPr>
        <w:t>C</w:t>
      </w:r>
      <w:r w:rsidR="005466C0">
        <w:rPr>
          <w:rFonts w:asciiTheme="majorHAnsi" w:hAnsiTheme="majorHAnsi"/>
          <w:bCs/>
          <w:lang w:val="en-US"/>
        </w:rPr>
        <w:t xml:space="preserve">ourt of Justice of the EU </w:t>
      </w:r>
      <w:r w:rsidR="000263AC" w:rsidRPr="008A6F10">
        <w:rPr>
          <w:rFonts w:asciiTheme="majorHAnsi" w:hAnsiTheme="majorHAnsi"/>
          <w:lang w:val="en-US"/>
        </w:rPr>
        <w:t xml:space="preserve">concluded </w:t>
      </w:r>
      <w:r w:rsidR="00241205" w:rsidRPr="008A6F10">
        <w:rPr>
          <w:rFonts w:asciiTheme="majorHAnsi" w:hAnsiTheme="majorHAnsi"/>
          <w:lang w:val="en-US"/>
        </w:rPr>
        <w:t xml:space="preserve">in 2014 </w:t>
      </w:r>
      <w:r w:rsidR="000263AC" w:rsidRPr="008A6F10">
        <w:rPr>
          <w:rFonts w:asciiTheme="majorHAnsi" w:hAnsiTheme="majorHAnsi"/>
          <w:lang w:val="en-US"/>
        </w:rPr>
        <w:t>that Hungary violated the respective EU directive.</w:t>
      </w:r>
    </w:p>
    <w:p w:rsidR="00543E4D" w:rsidRDefault="00543E4D" w:rsidP="00940FB5">
      <w:pPr>
        <w:jc w:val="both"/>
        <w:rPr>
          <w:rFonts w:asciiTheme="majorHAnsi" w:hAnsiTheme="majorHAnsi"/>
          <w:b/>
          <w:lang w:val="en-US"/>
        </w:rPr>
      </w:pPr>
      <w:r w:rsidRPr="008A6F10">
        <w:rPr>
          <w:rFonts w:asciiTheme="majorHAnsi" w:hAnsiTheme="majorHAnsi"/>
          <w:b/>
          <w:lang w:val="en-US"/>
        </w:rPr>
        <w:t>Harassment of NGOs</w:t>
      </w:r>
      <w:r w:rsidRPr="008A6F10">
        <w:rPr>
          <w:rStyle w:val="Lbjegyzet-hivatkozs"/>
          <w:rFonts w:asciiTheme="majorHAnsi" w:hAnsiTheme="majorHAnsi"/>
          <w:b/>
          <w:lang w:val="en-US"/>
        </w:rPr>
        <w:footnoteReference w:id="14"/>
      </w:r>
    </w:p>
    <w:p w:rsidR="00420BDB" w:rsidRDefault="006C099D" w:rsidP="00940FB5">
      <w:pPr>
        <w:jc w:val="both"/>
        <w:rPr>
          <w:rFonts w:asciiTheme="majorHAnsi" w:hAnsiTheme="majorHAnsi"/>
          <w:lang w:val="en-US"/>
        </w:rPr>
      </w:pPr>
      <w:r>
        <w:rPr>
          <w:rFonts w:asciiTheme="majorHAnsi" w:hAnsiTheme="majorHAnsi"/>
          <w:lang w:val="en-US"/>
        </w:rPr>
        <w:t xml:space="preserve">Because of the aforementioned erosion of the state bodies responsible for enforcing human rights, the </w:t>
      </w:r>
      <w:r w:rsidR="005E3D62" w:rsidRPr="00543E4D">
        <w:rPr>
          <w:rFonts w:asciiTheme="majorHAnsi" w:hAnsiTheme="majorHAnsi"/>
          <w:lang w:val="en-US"/>
        </w:rPr>
        <w:t>ro</w:t>
      </w:r>
      <w:r w:rsidR="00141C1F">
        <w:rPr>
          <w:rFonts w:asciiTheme="majorHAnsi" w:hAnsiTheme="majorHAnsi"/>
          <w:lang w:val="en-US"/>
        </w:rPr>
        <w:t xml:space="preserve">le of human rights /watchdog NGOs increased accordingly </w:t>
      </w:r>
      <w:r w:rsidR="005E3D62" w:rsidRPr="00543E4D">
        <w:rPr>
          <w:rFonts w:asciiTheme="majorHAnsi" w:hAnsiTheme="majorHAnsi"/>
          <w:lang w:val="en-US"/>
        </w:rPr>
        <w:t>in t</w:t>
      </w:r>
      <w:r w:rsidR="006C69DC">
        <w:rPr>
          <w:rFonts w:asciiTheme="majorHAnsi" w:hAnsiTheme="majorHAnsi"/>
          <w:lang w:val="en-US"/>
        </w:rPr>
        <w:t>he last few years. S</w:t>
      </w:r>
      <w:r w:rsidR="00141C1F">
        <w:rPr>
          <w:rFonts w:asciiTheme="majorHAnsi" w:hAnsiTheme="majorHAnsi"/>
          <w:lang w:val="en-US"/>
        </w:rPr>
        <w:t xml:space="preserve">ome of those </w:t>
      </w:r>
      <w:r w:rsidR="005E3D62" w:rsidRPr="00543E4D">
        <w:rPr>
          <w:rFonts w:asciiTheme="majorHAnsi" w:hAnsiTheme="majorHAnsi"/>
          <w:lang w:val="en-US"/>
        </w:rPr>
        <w:t>NGOs became a target o</w:t>
      </w:r>
      <w:r w:rsidR="00141C1F">
        <w:rPr>
          <w:rFonts w:asciiTheme="majorHAnsi" w:hAnsiTheme="majorHAnsi"/>
          <w:lang w:val="en-US"/>
        </w:rPr>
        <w:t xml:space="preserve">f a Government </w:t>
      </w:r>
      <w:r w:rsidR="005E3D62" w:rsidRPr="00543E4D">
        <w:rPr>
          <w:rFonts w:asciiTheme="majorHAnsi" w:hAnsiTheme="majorHAnsi"/>
          <w:lang w:val="en-US"/>
        </w:rPr>
        <w:t>communication ca</w:t>
      </w:r>
      <w:r w:rsidR="00141C1F">
        <w:rPr>
          <w:rFonts w:asciiTheme="majorHAnsi" w:hAnsiTheme="majorHAnsi"/>
          <w:lang w:val="en-US"/>
        </w:rPr>
        <w:t xml:space="preserve">mpaign, being forced </w:t>
      </w:r>
      <w:r w:rsidR="005E3D62" w:rsidRPr="00543E4D">
        <w:rPr>
          <w:rFonts w:asciiTheme="majorHAnsi" w:hAnsiTheme="majorHAnsi"/>
          <w:lang w:val="en-US"/>
        </w:rPr>
        <w:t xml:space="preserve">to use their limited resources to protect themselves instead of protecting the rights of others. </w:t>
      </w:r>
      <w:r w:rsidR="0078681F">
        <w:rPr>
          <w:rFonts w:asciiTheme="majorHAnsi" w:hAnsiTheme="majorHAnsi"/>
          <w:lang w:val="en-US"/>
        </w:rPr>
        <w:t xml:space="preserve">The campaign was backed by unlawful </w:t>
      </w:r>
      <w:r w:rsidR="0078681F">
        <w:rPr>
          <w:rFonts w:asciiTheme="majorHAnsi" w:hAnsiTheme="majorHAnsi"/>
          <w:lang w:val="en-US"/>
        </w:rPr>
        <w:lastRenderedPageBreak/>
        <w:t xml:space="preserve">actions of the </w:t>
      </w:r>
      <w:r w:rsidR="0078681F" w:rsidRPr="008A6F10">
        <w:rPr>
          <w:rFonts w:asciiTheme="majorHAnsi" w:hAnsiTheme="majorHAnsi"/>
          <w:lang w:val="en-US"/>
        </w:rPr>
        <w:t xml:space="preserve">Government Control Office </w:t>
      </w:r>
      <w:r w:rsidR="0078681F">
        <w:rPr>
          <w:rFonts w:asciiTheme="majorHAnsi" w:hAnsiTheme="majorHAnsi"/>
          <w:lang w:val="en-US"/>
        </w:rPr>
        <w:t>and the police, and resulted in the sus</w:t>
      </w:r>
      <w:r w:rsidR="005466C0">
        <w:rPr>
          <w:rFonts w:asciiTheme="majorHAnsi" w:hAnsiTheme="majorHAnsi"/>
          <w:lang w:val="en-US"/>
        </w:rPr>
        <w:t>pension of the tax</w:t>
      </w:r>
      <w:r w:rsidR="00ED5363">
        <w:rPr>
          <w:rFonts w:asciiTheme="majorHAnsi" w:hAnsiTheme="majorHAnsi"/>
          <w:lang w:val="en-US"/>
        </w:rPr>
        <w:t xml:space="preserve"> number of the </w:t>
      </w:r>
      <w:r w:rsidR="0078681F">
        <w:rPr>
          <w:rFonts w:asciiTheme="majorHAnsi" w:hAnsiTheme="majorHAnsi"/>
          <w:lang w:val="en-US"/>
        </w:rPr>
        <w:t xml:space="preserve">NGOs of the consortium responsible for </w:t>
      </w:r>
      <w:r w:rsidR="006A30C4" w:rsidRPr="008A6F10">
        <w:rPr>
          <w:rFonts w:asciiTheme="majorHAnsi" w:hAnsiTheme="majorHAnsi"/>
          <w:lang w:val="en-US"/>
        </w:rPr>
        <w:t>distributing the EEA/Norway Grants NGO Fund</w:t>
      </w:r>
      <w:r w:rsidR="006A30C4">
        <w:rPr>
          <w:rFonts w:asciiTheme="majorHAnsi" w:hAnsiTheme="majorHAnsi"/>
          <w:lang w:val="en-US"/>
        </w:rPr>
        <w:t xml:space="preserve">. </w:t>
      </w:r>
      <w:r w:rsidR="005E3D62" w:rsidRPr="00543E4D">
        <w:rPr>
          <w:rFonts w:asciiTheme="majorHAnsi" w:hAnsiTheme="majorHAnsi"/>
          <w:lang w:val="en-US"/>
        </w:rPr>
        <w:t xml:space="preserve">This campaign caused major damages to the civil society.  </w:t>
      </w:r>
    </w:p>
    <w:p w:rsidR="00814598" w:rsidRPr="001305D6" w:rsidRDefault="00814598" w:rsidP="00940FB5">
      <w:pPr>
        <w:shd w:val="clear" w:color="auto" w:fill="FFFFFF"/>
        <w:spacing w:before="100" w:beforeAutospacing="1" w:after="100" w:afterAutospacing="1" w:line="221" w:lineRule="atLeast"/>
        <w:jc w:val="both"/>
        <w:rPr>
          <w:rFonts w:asciiTheme="majorHAnsi" w:eastAsia="Times New Roman" w:hAnsiTheme="majorHAnsi" w:cs="Arial"/>
          <w:color w:val="222222"/>
          <w:lang w:val="en-US" w:eastAsia="hu-HU"/>
        </w:rPr>
      </w:pPr>
      <w:r w:rsidRPr="001305D6">
        <w:rPr>
          <w:rFonts w:asciiTheme="majorHAnsi" w:eastAsia="Times New Roman" w:hAnsiTheme="majorHAnsi" w:cs="Arial"/>
          <w:b/>
          <w:bCs/>
          <w:color w:val="222222"/>
          <w:lang w:val="en-US" w:eastAsia="hu-HU"/>
        </w:rPr>
        <w:t>Curtailing social protection and the criminalization of poverty</w:t>
      </w:r>
    </w:p>
    <w:p w:rsidR="00814598" w:rsidRPr="001305D6" w:rsidRDefault="00814598" w:rsidP="00940FB5">
      <w:pPr>
        <w:shd w:val="clear" w:color="auto" w:fill="FFFFFF"/>
        <w:spacing w:before="100" w:beforeAutospacing="1" w:after="100" w:afterAutospacing="1" w:line="221" w:lineRule="atLeast"/>
        <w:jc w:val="both"/>
        <w:rPr>
          <w:rFonts w:asciiTheme="majorHAnsi" w:eastAsia="Times New Roman" w:hAnsiTheme="majorHAnsi" w:cs="Arial"/>
          <w:color w:val="222222"/>
          <w:lang w:val="en-US" w:eastAsia="hu-HU"/>
        </w:rPr>
      </w:pPr>
      <w:r w:rsidRPr="001305D6">
        <w:rPr>
          <w:rFonts w:asciiTheme="majorHAnsi" w:eastAsia="Times New Roman" w:hAnsiTheme="majorHAnsi" w:cs="Arial"/>
          <w:color w:val="222222"/>
          <w:lang w:val="en-US" w:eastAsia="hu-HU"/>
        </w:rPr>
        <w:t xml:space="preserve">Poverty has drastically increased in Hungary </w:t>
      </w:r>
      <w:r w:rsidR="00506512">
        <w:rPr>
          <w:rFonts w:asciiTheme="majorHAnsi" w:eastAsia="Times New Roman" w:hAnsiTheme="majorHAnsi" w:cs="Arial"/>
          <w:color w:val="222222"/>
          <w:lang w:val="en-US" w:eastAsia="hu-HU"/>
        </w:rPr>
        <w:t xml:space="preserve">since 2008; </w:t>
      </w:r>
      <w:r w:rsidRPr="001305D6">
        <w:rPr>
          <w:rFonts w:asciiTheme="majorHAnsi" w:eastAsia="Times New Roman" w:hAnsiTheme="majorHAnsi" w:cs="Arial"/>
          <w:color w:val="222222"/>
          <w:lang w:val="en-US" w:eastAsia="hu-HU"/>
        </w:rPr>
        <w:t>the number of poor people and peop</w:t>
      </w:r>
      <w:r w:rsidR="00475E41">
        <w:rPr>
          <w:rFonts w:asciiTheme="majorHAnsi" w:eastAsia="Times New Roman" w:hAnsiTheme="majorHAnsi" w:cs="Arial"/>
          <w:color w:val="222222"/>
          <w:lang w:val="en-US" w:eastAsia="hu-HU"/>
        </w:rPr>
        <w:t xml:space="preserve">le at risk of poverty increased by </w:t>
      </w:r>
      <w:r w:rsidRPr="001305D6">
        <w:rPr>
          <w:rFonts w:asciiTheme="majorHAnsi" w:eastAsia="Times New Roman" w:hAnsiTheme="majorHAnsi" w:cs="Arial"/>
          <w:color w:val="222222"/>
          <w:lang w:val="en-US" w:eastAsia="hu-HU"/>
        </w:rPr>
        <w:t xml:space="preserve">17.5% </w:t>
      </w:r>
      <w:proofErr w:type="gramStart"/>
      <w:r w:rsidRPr="001305D6">
        <w:rPr>
          <w:rFonts w:asciiTheme="majorHAnsi" w:eastAsia="Times New Roman" w:hAnsiTheme="majorHAnsi" w:cs="Arial"/>
          <w:color w:val="222222"/>
          <w:lang w:val="en-US" w:eastAsia="hu-HU"/>
        </w:rPr>
        <w:t>between 2008-2012</w:t>
      </w:r>
      <w:proofErr w:type="gramEnd"/>
      <w:r w:rsidR="00506512">
        <w:rPr>
          <w:rFonts w:asciiTheme="majorHAnsi" w:eastAsia="Times New Roman" w:hAnsiTheme="majorHAnsi" w:cs="Arial"/>
          <w:color w:val="222222"/>
          <w:lang w:val="en-US" w:eastAsia="hu-HU"/>
        </w:rPr>
        <w:t>.</w:t>
      </w:r>
      <w:r w:rsidR="005466C0">
        <w:rPr>
          <w:rStyle w:val="Lbjegyzet-hivatkozs"/>
          <w:rFonts w:asciiTheme="majorHAnsi" w:eastAsia="Times New Roman" w:hAnsiTheme="majorHAnsi" w:cs="Arial"/>
          <w:color w:val="222222"/>
          <w:lang w:val="en-US" w:eastAsia="hu-HU"/>
        </w:rPr>
        <w:footnoteReference w:id="15"/>
      </w:r>
      <w:r w:rsidRPr="001305D6">
        <w:rPr>
          <w:rFonts w:asciiTheme="majorHAnsi" w:eastAsia="Times New Roman" w:hAnsiTheme="majorHAnsi" w:cs="Arial"/>
          <w:color w:val="222222"/>
          <w:lang w:val="en-US" w:eastAsia="hu-HU"/>
        </w:rPr>
        <w:t xml:space="preserve"> But still, Hungary was the country in the region with the most severe cuts in welfare expenditure (-10%). Access to welfare provisions has become increasingly limited as crucial provisions such as debt management and the housing maintenance subsidy have been terminated and for other provisions eligibility criteria have become stricter and ever more humiliating</w:t>
      </w:r>
      <w:bookmarkStart w:id="0" w:name="14fdfce29ce7368a__ftnref1"/>
      <w:r w:rsidRPr="001305D6">
        <w:rPr>
          <w:rFonts w:asciiTheme="majorHAnsi" w:eastAsia="Times New Roman" w:hAnsiTheme="majorHAnsi" w:cs="Arial"/>
          <w:color w:val="222222"/>
          <w:lang w:val="en-US" w:eastAsia="hu-HU"/>
        </w:rPr>
        <w:t>.</w:t>
      </w:r>
      <w:bookmarkEnd w:id="0"/>
      <w:r w:rsidRPr="001305D6">
        <w:rPr>
          <w:rStyle w:val="Lbjegyzet-hivatkozs"/>
          <w:rFonts w:asciiTheme="majorHAnsi" w:eastAsia="Times New Roman" w:hAnsiTheme="majorHAnsi" w:cs="Arial"/>
          <w:color w:val="222222"/>
          <w:lang w:val="en-US" w:eastAsia="hu-HU"/>
        </w:rPr>
        <w:footnoteReference w:id="16"/>
      </w:r>
    </w:p>
    <w:p w:rsidR="00D9106F" w:rsidRPr="00F30AE4" w:rsidRDefault="00814598" w:rsidP="00F30AE4">
      <w:pPr>
        <w:shd w:val="clear" w:color="auto" w:fill="FFFFFF"/>
        <w:spacing w:before="100" w:beforeAutospacing="1" w:after="100" w:afterAutospacing="1" w:line="221" w:lineRule="atLeast"/>
        <w:jc w:val="both"/>
        <w:rPr>
          <w:rFonts w:asciiTheme="majorHAnsi" w:eastAsia="Times New Roman" w:hAnsiTheme="majorHAnsi" w:cs="Arial"/>
          <w:color w:val="222222"/>
          <w:lang w:val="en-US" w:eastAsia="hu-HU"/>
        </w:rPr>
      </w:pPr>
      <w:r w:rsidRPr="001305D6">
        <w:rPr>
          <w:rFonts w:asciiTheme="majorHAnsi" w:eastAsia="Times New Roman" w:hAnsiTheme="majorHAnsi" w:cs="Arial"/>
          <w:color w:val="222222"/>
          <w:lang w:val="en-US" w:eastAsia="hu-HU"/>
        </w:rPr>
        <w:t>Besides curtailing welfare provisions, various measures were introduced that criminalize different manifestations of poverty. Despite pressure from the UN against it</w:t>
      </w:r>
      <w:r w:rsidRPr="001305D6">
        <w:rPr>
          <w:rStyle w:val="Lbjegyzet-hivatkozs"/>
          <w:rFonts w:asciiTheme="majorHAnsi" w:eastAsia="Times New Roman" w:hAnsiTheme="majorHAnsi" w:cs="Arial"/>
          <w:color w:val="222222"/>
          <w:lang w:val="en-US" w:eastAsia="hu-HU"/>
        </w:rPr>
        <w:footnoteReference w:id="17"/>
      </w:r>
      <w:r w:rsidRPr="001305D6">
        <w:rPr>
          <w:rFonts w:asciiTheme="majorHAnsi" w:eastAsia="Times New Roman" w:hAnsiTheme="majorHAnsi" w:cs="Arial"/>
          <w:color w:val="222222"/>
          <w:lang w:val="en-US" w:eastAsia="hu-HU"/>
        </w:rPr>
        <w:t>, street homelessness was outlawed on the constitutional level in 2011 and building self-made shacks was also criminalized in 2013</w:t>
      </w:r>
      <w:r w:rsidRPr="001305D6">
        <w:rPr>
          <w:rStyle w:val="Lbjegyzet-hivatkozs"/>
          <w:rFonts w:asciiTheme="majorHAnsi" w:eastAsia="Times New Roman" w:hAnsiTheme="majorHAnsi" w:cs="Arial"/>
          <w:color w:val="222222"/>
          <w:lang w:val="en-US" w:eastAsia="hu-HU"/>
        </w:rPr>
        <w:footnoteReference w:id="18"/>
      </w:r>
      <w:r w:rsidRPr="001305D6">
        <w:rPr>
          <w:rFonts w:asciiTheme="majorHAnsi" w:eastAsia="Times New Roman" w:hAnsiTheme="majorHAnsi" w:cs="Arial"/>
          <w:color w:val="222222"/>
          <w:lang w:val="en-US" w:eastAsia="hu-HU"/>
        </w:rPr>
        <w:t>. Besides, cutting trees illegally is now sanctioned with up to two years of imprisonment, independent of the amount or the value of the wood cut.</w:t>
      </w:r>
    </w:p>
    <w:p w:rsidR="0049232F" w:rsidRPr="008A6F10" w:rsidRDefault="0049232F" w:rsidP="0049232F">
      <w:pPr>
        <w:pStyle w:val="Cm"/>
        <w:rPr>
          <w:lang w:val="en-US"/>
        </w:rPr>
      </w:pPr>
      <w:r w:rsidRPr="008A6F10">
        <w:rPr>
          <w:lang w:val="en-US"/>
        </w:rPr>
        <w:t xml:space="preserve">II. RECOMMENDATIONS </w:t>
      </w:r>
    </w:p>
    <w:p w:rsidR="0049232F" w:rsidRPr="00FE4800" w:rsidRDefault="0049232F" w:rsidP="0049232F">
      <w:pPr>
        <w:rPr>
          <w:rFonts w:asciiTheme="majorHAnsi" w:hAnsiTheme="majorHAnsi"/>
          <w:lang w:val="en-US"/>
        </w:rPr>
      </w:pPr>
    </w:p>
    <w:p w:rsidR="0049232F" w:rsidRPr="00FE4800" w:rsidRDefault="0049232F" w:rsidP="00CD77BF">
      <w:pPr>
        <w:pStyle w:val="Style-1"/>
        <w:spacing w:line="20" w:lineRule="atLeast"/>
        <w:jc w:val="both"/>
        <w:rPr>
          <w:rFonts w:asciiTheme="majorHAnsi" w:hAnsiTheme="majorHAnsi"/>
          <w:bCs/>
          <w:color w:val="000000"/>
          <w:sz w:val="22"/>
          <w:szCs w:val="22"/>
        </w:rPr>
      </w:pPr>
      <w:r w:rsidRPr="00FE4800">
        <w:rPr>
          <w:rFonts w:asciiTheme="majorHAnsi" w:hAnsiTheme="majorHAnsi"/>
          <w:bCs/>
          <w:color w:val="000000"/>
          <w:sz w:val="22"/>
          <w:szCs w:val="22"/>
        </w:rPr>
        <w:t>Submitting organizations encourage the H</w:t>
      </w:r>
      <w:r w:rsidR="00506512" w:rsidRPr="00FE4800">
        <w:rPr>
          <w:rFonts w:asciiTheme="majorHAnsi" w:hAnsiTheme="majorHAnsi"/>
          <w:bCs/>
          <w:color w:val="000000"/>
          <w:sz w:val="22"/>
          <w:szCs w:val="22"/>
        </w:rPr>
        <w:t>uman Rights Council to address the following issues regarding Hungary</w:t>
      </w:r>
      <w:r w:rsidR="00CD77BF" w:rsidRPr="00FE4800">
        <w:rPr>
          <w:rFonts w:asciiTheme="majorHAnsi" w:hAnsiTheme="majorHAnsi"/>
          <w:bCs/>
          <w:color w:val="000000"/>
          <w:sz w:val="22"/>
          <w:szCs w:val="22"/>
        </w:rPr>
        <w:t>. The proposed recommendations are conta</w:t>
      </w:r>
      <w:r w:rsidR="00485717">
        <w:rPr>
          <w:rFonts w:asciiTheme="majorHAnsi" w:hAnsiTheme="majorHAnsi"/>
          <w:bCs/>
          <w:color w:val="000000"/>
          <w:sz w:val="22"/>
          <w:szCs w:val="22"/>
        </w:rPr>
        <w:t>ined at the end of each section</w:t>
      </w:r>
      <w:r w:rsidR="00CD77BF" w:rsidRPr="00FE4800">
        <w:rPr>
          <w:rFonts w:asciiTheme="majorHAnsi" w:hAnsiTheme="majorHAnsi"/>
          <w:bCs/>
          <w:color w:val="000000"/>
          <w:sz w:val="22"/>
          <w:szCs w:val="22"/>
        </w:rPr>
        <w:t xml:space="preserve">.  </w:t>
      </w:r>
    </w:p>
    <w:p w:rsidR="00AA2470" w:rsidRPr="00C85F43" w:rsidRDefault="00C85F43" w:rsidP="00C85F43">
      <w:pPr>
        <w:pStyle w:val="Cmsor1"/>
        <w:rPr>
          <w:rFonts w:asciiTheme="majorHAnsi" w:hAnsiTheme="majorHAnsi" w:cs="Tahoma"/>
          <w:lang w:val="en-US"/>
        </w:rPr>
      </w:pPr>
      <w:r w:rsidRPr="00C85F43">
        <w:rPr>
          <w:shd w:val="clear" w:color="auto" w:fill="FFFFFF"/>
          <w:lang w:val="en-US"/>
        </w:rPr>
        <w:t>Issues related to detention</w:t>
      </w:r>
    </w:p>
    <w:p w:rsidR="00AA2470" w:rsidRPr="008A6F10" w:rsidRDefault="00AA2470" w:rsidP="00AA2470">
      <w:pPr>
        <w:spacing w:after="0" w:line="240" w:lineRule="auto"/>
        <w:jc w:val="both"/>
        <w:rPr>
          <w:rFonts w:asciiTheme="majorHAnsi" w:hAnsiTheme="majorHAnsi" w:cs="Tahoma"/>
          <w:lang w:val="en-US"/>
        </w:rPr>
      </w:pPr>
    </w:p>
    <w:p w:rsidR="00AA2470" w:rsidRPr="008A6F10" w:rsidRDefault="00AA2470" w:rsidP="00CC79F7">
      <w:pPr>
        <w:pStyle w:val="Listaszerbekezds"/>
        <w:numPr>
          <w:ilvl w:val="0"/>
          <w:numId w:val="28"/>
        </w:numPr>
        <w:rPr>
          <w:rStyle w:val="Kiemels2"/>
          <w:lang w:val="en-US"/>
        </w:rPr>
      </w:pPr>
      <w:r w:rsidRPr="008A6F10">
        <w:rPr>
          <w:rStyle w:val="Kiemels2"/>
          <w:lang w:val="en-US"/>
        </w:rPr>
        <w:t>OP-CAT</w:t>
      </w:r>
    </w:p>
    <w:p w:rsidR="00AA2470" w:rsidRPr="008A6F10" w:rsidRDefault="00AA2470" w:rsidP="00AA2470">
      <w:pPr>
        <w:spacing w:after="0" w:line="240" w:lineRule="auto"/>
        <w:jc w:val="both"/>
        <w:rPr>
          <w:rFonts w:asciiTheme="majorHAnsi" w:eastAsia="Times New Roman" w:hAnsiTheme="majorHAnsi" w:cs="Tahoma"/>
          <w:i/>
          <w:lang w:val="en-US" w:eastAsia="hu-HU"/>
        </w:rPr>
      </w:pPr>
    </w:p>
    <w:p w:rsidR="00AA2470" w:rsidRPr="008A6F10" w:rsidRDefault="00AA2470" w:rsidP="00AA2470">
      <w:pPr>
        <w:spacing w:after="0" w:line="240" w:lineRule="auto"/>
        <w:jc w:val="both"/>
        <w:rPr>
          <w:rFonts w:asciiTheme="majorHAnsi" w:eastAsia="Times New Roman" w:hAnsiTheme="majorHAnsi" w:cs="Tahoma"/>
          <w:lang w:val="en-US" w:eastAsia="hu-HU"/>
        </w:rPr>
      </w:pPr>
      <w:r w:rsidRPr="008A6F10">
        <w:rPr>
          <w:rFonts w:asciiTheme="majorHAnsi" w:eastAsia="Times New Roman" w:hAnsiTheme="majorHAnsi" w:cs="Tahoma"/>
          <w:lang w:val="en-US" w:eastAsia="hu-HU"/>
        </w:rPr>
        <w:t>In line with the respective UPR recommendations, Hungary ratified the OP-CAT, and the Commissioner for Fundamental Rights (the Ombudsperson) was designated to be the National Preve</w:t>
      </w:r>
      <w:r w:rsidR="00506512">
        <w:rPr>
          <w:rFonts w:asciiTheme="majorHAnsi" w:eastAsia="Times New Roman" w:hAnsiTheme="majorHAnsi" w:cs="Tahoma"/>
          <w:lang w:val="en-US" w:eastAsia="hu-HU"/>
        </w:rPr>
        <w:t>ntive Mechanism (NPM)</w:t>
      </w:r>
      <w:r w:rsidRPr="008A6F10">
        <w:rPr>
          <w:rFonts w:asciiTheme="majorHAnsi" w:eastAsia="Times New Roman" w:hAnsiTheme="majorHAnsi" w:cs="Tahoma"/>
          <w:lang w:val="en-US" w:eastAsia="hu-HU"/>
        </w:rPr>
        <w:t>. However, on the basis of the first year of the NPM’s operation NGOs find that the NPM’s functioning leaves much room for improvement and does not fulfil all the requirements set by OP</w:t>
      </w:r>
      <w:r w:rsidR="00506512">
        <w:rPr>
          <w:rFonts w:asciiTheme="majorHAnsi" w:eastAsia="Times New Roman" w:hAnsiTheme="majorHAnsi" w:cs="Tahoma"/>
          <w:lang w:val="en-US" w:eastAsia="hu-HU"/>
        </w:rPr>
        <w:t xml:space="preserve">-CAT and the Paris Principles. </w:t>
      </w:r>
      <w:r w:rsidRPr="008A6F10">
        <w:rPr>
          <w:rFonts w:asciiTheme="majorHAnsi" w:eastAsia="Times New Roman" w:hAnsiTheme="majorHAnsi" w:cs="Tahoma"/>
          <w:lang w:val="en-US" w:eastAsia="hu-HU"/>
        </w:rPr>
        <w:t xml:space="preserve">Especially the participation of NGOs with significant experience in monitoring detention is not substantively ensured in the work of the NPM, experts by experience are not involved at all. The budget available for the NPM is inadequate, hindering its effective operation. Given the present intensity of monitoring only in over 100 years would the NPM be able to visit all places of detention instead of the maximum 5 years recommended. </w:t>
      </w:r>
    </w:p>
    <w:p w:rsidR="00CC79F7" w:rsidRDefault="00CC79F7" w:rsidP="00AA2470">
      <w:pPr>
        <w:spacing w:after="0" w:line="240" w:lineRule="auto"/>
        <w:jc w:val="both"/>
        <w:rPr>
          <w:rFonts w:asciiTheme="majorHAnsi" w:eastAsia="Times New Roman" w:hAnsiTheme="majorHAnsi" w:cs="Tahoma"/>
          <w:lang w:val="en-US" w:eastAsia="hu-HU"/>
        </w:rPr>
      </w:pPr>
    </w:p>
    <w:p w:rsidR="00AA2470" w:rsidRPr="008A6F10" w:rsidRDefault="00AA2470" w:rsidP="00AA2470">
      <w:pPr>
        <w:pStyle w:val="Listaszerbekezds"/>
        <w:numPr>
          <w:ilvl w:val="0"/>
          <w:numId w:val="3"/>
        </w:numPr>
        <w:rPr>
          <w:rFonts w:asciiTheme="majorHAnsi" w:eastAsia="Times New Roman" w:hAnsiTheme="majorHAnsi" w:cs="Tahoma"/>
          <w:i/>
          <w:lang w:val="en-US" w:eastAsia="hu-HU"/>
        </w:rPr>
      </w:pPr>
      <w:r w:rsidRPr="008A6F10">
        <w:rPr>
          <w:rFonts w:asciiTheme="majorHAnsi" w:eastAsia="Times New Roman" w:hAnsiTheme="majorHAnsi" w:cs="Tahoma"/>
          <w:i/>
          <w:lang w:val="en-US" w:eastAsia="hu-HU"/>
        </w:rPr>
        <w:t>Ensure that the National Preventive Mechanism substantively involve NGOs in its work.</w:t>
      </w:r>
    </w:p>
    <w:p w:rsidR="00AA2470" w:rsidRDefault="00AA2470" w:rsidP="00AA2470">
      <w:pPr>
        <w:pStyle w:val="Listaszerbekezds"/>
        <w:numPr>
          <w:ilvl w:val="0"/>
          <w:numId w:val="3"/>
        </w:numPr>
        <w:rPr>
          <w:rFonts w:asciiTheme="majorHAnsi" w:eastAsia="Times New Roman" w:hAnsiTheme="majorHAnsi" w:cs="Tahoma"/>
          <w:i/>
          <w:lang w:val="en-US" w:eastAsia="hu-HU"/>
        </w:rPr>
      </w:pPr>
      <w:r w:rsidRPr="008A6F10">
        <w:rPr>
          <w:rFonts w:asciiTheme="majorHAnsi" w:eastAsia="Times New Roman" w:hAnsiTheme="majorHAnsi" w:cs="Tahoma"/>
          <w:i/>
          <w:lang w:val="en-US" w:eastAsia="hu-HU"/>
        </w:rPr>
        <w:t>Increase the budget of the NPM substantially in order to allow for its effective operation.</w:t>
      </w:r>
    </w:p>
    <w:p w:rsidR="00C85F43" w:rsidRDefault="00C85F43" w:rsidP="00C85F43">
      <w:pPr>
        <w:rPr>
          <w:rFonts w:asciiTheme="majorHAnsi" w:eastAsia="Times New Roman" w:hAnsiTheme="majorHAnsi" w:cs="Tahoma"/>
          <w:i/>
          <w:lang w:val="en-US" w:eastAsia="hu-HU"/>
        </w:rPr>
      </w:pPr>
    </w:p>
    <w:p w:rsidR="00C85F43" w:rsidRPr="00C85F43" w:rsidRDefault="00C85F43" w:rsidP="00C85F43">
      <w:pPr>
        <w:spacing w:after="0" w:line="240" w:lineRule="auto"/>
        <w:jc w:val="both"/>
        <w:rPr>
          <w:rFonts w:asciiTheme="majorHAnsi" w:hAnsiTheme="majorHAnsi"/>
          <w:b/>
          <w:u w:val="single"/>
          <w:lang w:val="en-GB"/>
        </w:rPr>
      </w:pPr>
      <w:r w:rsidRPr="00C85F43">
        <w:rPr>
          <w:rFonts w:asciiTheme="majorHAnsi" w:hAnsiTheme="majorHAnsi"/>
          <w:b/>
          <w:lang w:val="en-GB"/>
        </w:rPr>
        <w:t>Overcrowding in penitentiaries and inadequate detention conditions</w:t>
      </w:r>
    </w:p>
    <w:p w:rsidR="00C85F43" w:rsidRPr="00C85F43" w:rsidRDefault="00C85F43" w:rsidP="00C85F43">
      <w:pPr>
        <w:spacing w:after="0" w:line="240" w:lineRule="auto"/>
        <w:jc w:val="both"/>
        <w:rPr>
          <w:rFonts w:asciiTheme="majorHAnsi" w:hAnsiTheme="majorHAnsi"/>
          <w:b/>
          <w:lang w:val="en-GB"/>
        </w:rPr>
      </w:pPr>
    </w:p>
    <w:p w:rsidR="00C85F43" w:rsidRPr="00C85F43" w:rsidRDefault="00C85F43" w:rsidP="00C85F43">
      <w:pPr>
        <w:spacing w:after="0" w:line="240" w:lineRule="auto"/>
        <w:jc w:val="both"/>
        <w:rPr>
          <w:rFonts w:asciiTheme="majorHAnsi" w:hAnsiTheme="majorHAnsi"/>
          <w:lang w:val="en-GB"/>
        </w:rPr>
      </w:pPr>
      <w:r w:rsidRPr="00C85F43">
        <w:rPr>
          <w:rFonts w:asciiTheme="majorHAnsi" w:hAnsiTheme="majorHAnsi"/>
          <w:lang w:val="en-GB"/>
        </w:rPr>
        <w:t>The UPR recommendations to combat overcrowding in prisons and improve prison conditions have only been implemented partially. In the past years, the average number of detainees has constantly increased, until 2013 in parallel to the average overcrowding rate</w:t>
      </w:r>
      <w:r w:rsidR="006A63CA">
        <w:rPr>
          <w:rFonts w:asciiTheme="majorHAnsi" w:hAnsiTheme="majorHAnsi"/>
          <w:lang w:val="en-GB"/>
        </w:rPr>
        <w:t>. (T</w:t>
      </w:r>
      <w:r w:rsidRPr="00C85F43">
        <w:rPr>
          <w:rFonts w:asciiTheme="majorHAnsi" w:hAnsiTheme="majorHAnsi"/>
          <w:lang w:val="en-GB"/>
        </w:rPr>
        <w:t>he rise of the latter was stopped only because in 2014 the capacity of the penitentiary system was slightly increased</w:t>
      </w:r>
      <w:r w:rsidR="006A63CA">
        <w:rPr>
          <w:rFonts w:asciiTheme="majorHAnsi" w:hAnsiTheme="majorHAnsi"/>
          <w:lang w:val="en-GB"/>
        </w:rPr>
        <w:t>.)</w:t>
      </w:r>
      <w:r w:rsidRPr="00C85F43">
        <w:rPr>
          <w:rFonts w:asciiTheme="majorHAnsi" w:hAnsiTheme="majorHAnsi"/>
          <w:lang w:val="en-GB"/>
        </w:rPr>
        <w:t xml:space="preserve"> The average overcrowding rate of the penitentiary system was 141% in 2014, but overcrowding may reach 200% in certain institutions. In a pilot judgment reached in 2015</w:t>
      </w:r>
      <w:r w:rsidRPr="00C85F43">
        <w:rPr>
          <w:rStyle w:val="Lbjegyzet-hivatkozs"/>
          <w:rFonts w:asciiTheme="majorHAnsi" w:hAnsiTheme="majorHAnsi"/>
        </w:rPr>
        <w:footnoteReference w:id="19"/>
      </w:r>
      <w:r w:rsidRPr="00C85F43">
        <w:rPr>
          <w:rFonts w:asciiTheme="majorHAnsi" w:hAnsiTheme="majorHAnsi"/>
          <w:lang w:val="en-GB"/>
        </w:rPr>
        <w:t xml:space="preserve"> the European Court of Human Rights</w:t>
      </w:r>
      <w:r w:rsidR="00475E41">
        <w:rPr>
          <w:rFonts w:asciiTheme="majorHAnsi" w:hAnsiTheme="majorHAnsi"/>
          <w:lang w:val="en-GB"/>
        </w:rPr>
        <w:t xml:space="preserve"> </w:t>
      </w:r>
      <w:r w:rsidRPr="00C85F43">
        <w:rPr>
          <w:rFonts w:asciiTheme="majorHAnsi" w:hAnsiTheme="majorHAnsi"/>
          <w:lang w:val="en-GB"/>
        </w:rPr>
        <w:t xml:space="preserve">concluded not only that the detention conditions of the applicants – including the overcrowding and the inadequate moving space per person – amounted to the violation of the prohibition of inhuman or degrading treatment, but also that overcrowding constitutes a structural problem in Hungary, and, therefore, set out that Hungary should produce a plan to solve the issue. According to the judgment, the solution would be the reduction of the number of prisoners by the more frequent use of non-custodial punitive measures and minimising the </w:t>
      </w:r>
      <w:r w:rsidR="006A63CA">
        <w:rPr>
          <w:rFonts w:asciiTheme="majorHAnsi" w:hAnsiTheme="majorHAnsi"/>
          <w:lang w:val="en-GB"/>
        </w:rPr>
        <w:t>recourse to pre-trial detention. H</w:t>
      </w:r>
      <w:r w:rsidRPr="00C85F43">
        <w:rPr>
          <w:rFonts w:asciiTheme="majorHAnsi" w:hAnsiTheme="majorHAnsi"/>
          <w:lang w:val="en-GB"/>
        </w:rPr>
        <w:t xml:space="preserve">owever, the Government’s communication shows that for the time being it wants to solve the situation solely by building prisons. Overcrowding is often accompanied by unsatisfactory detention conditions, such as toilets separated from the rest of the cell only by a textile curtain, inadequate number of toilets and sinks, widespread presence of bedbugs, and poor sanitary conditions in general. </w:t>
      </w:r>
    </w:p>
    <w:p w:rsidR="00C85F43" w:rsidRPr="00C85F43" w:rsidRDefault="00C85F43" w:rsidP="00C85F43">
      <w:pPr>
        <w:spacing w:after="0" w:line="240" w:lineRule="auto"/>
        <w:jc w:val="both"/>
        <w:rPr>
          <w:rFonts w:asciiTheme="majorHAnsi" w:hAnsiTheme="majorHAnsi"/>
          <w:lang w:val="en-GB"/>
        </w:rPr>
      </w:pPr>
    </w:p>
    <w:p w:rsidR="00C85F43" w:rsidRPr="00C85F43" w:rsidRDefault="00C85F43" w:rsidP="00C85F43">
      <w:pPr>
        <w:numPr>
          <w:ilvl w:val="0"/>
          <w:numId w:val="5"/>
        </w:numPr>
        <w:spacing w:after="0" w:line="240" w:lineRule="auto"/>
        <w:jc w:val="both"/>
        <w:rPr>
          <w:rFonts w:asciiTheme="majorHAnsi" w:hAnsiTheme="majorHAnsi"/>
          <w:i/>
          <w:lang w:val="en-GB"/>
        </w:rPr>
      </w:pPr>
      <w:r w:rsidRPr="00C85F43">
        <w:rPr>
          <w:rFonts w:asciiTheme="majorHAnsi" w:hAnsiTheme="majorHAnsi"/>
          <w:i/>
          <w:lang w:val="en-GB"/>
        </w:rPr>
        <w:t xml:space="preserve">Ensure that moving space per person provided for detainees complies with international standards. </w:t>
      </w:r>
    </w:p>
    <w:p w:rsidR="00C85F43" w:rsidRPr="00C85F43" w:rsidRDefault="00C85F43" w:rsidP="00C85F43">
      <w:pPr>
        <w:numPr>
          <w:ilvl w:val="0"/>
          <w:numId w:val="5"/>
        </w:numPr>
        <w:spacing w:after="0" w:line="240" w:lineRule="auto"/>
        <w:jc w:val="both"/>
        <w:rPr>
          <w:rFonts w:asciiTheme="majorHAnsi" w:hAnsiTheme="majorHAnsi"/>
          <w:i/>
          <w:lang w:val="en-GB"/>
        </w:rPr>
      </w:pPr>
      <w:r w:rsidRPr="00C85F43">
        <w:rPr>
          <w:rFonts w:asciiTheme="majorHAnsi" w:hAnsiTheme="majorHAnsi"/>
          <w:i/>
          <w:lang w:val="en-GB"/>
        </w:rPr>
        <w:t xml:space="preserve">Adopt measures to overcome overcrowding in penitentiary institutions with a view to comply with the pilot judgment of the European Court of Human Rights delivered in the </w:t>
      </w:r>
      <w:proofErr w:type="spellStart"/>
      <w:r w:rsidRPr="00C85F43">
        <w:rPr>
          <w:rFonts w:asciiTheme="majorHAnsi" w:hAnsiTheme="majorHAnsi"/>
          <w:i/>
          <w:lang w:val="en-GB"/>
        </w:rPr>
        <w:t>Varga</w:t>
      </w:r>
      <w:proofErr w:type="spellEnd"/>
      <w:r w:rsidRPr="00C85F43">
        <w:rPr>
          <w:rFonts w:asciiTheme="majorHAnsi" w:hAnsiTheme="majorHAnsi"/>
          <w:i/>
          <w:lang w:val="en-GB"/>
        </w:rPr>
        <w:t xml:space="preserve"> and Others v. Hungary case, including measures beyond building new prison facilities.</w:t>
      </w:r>
    </w:p>
    <w:p w:rsidR="00C85F43" w:rsidRPr="00C85F43" w:rsidRDefault="00C85F43" w:rsidP="00C85F43">
      <w:pPr>
        <w:numPr>
          <w:ilvl w:val="0"/>
          <w:numId w:val="5"/>
        </w:numPr>
        <w:spacing w:after="0" w:line="240" w:lineRule="auto"/>
        <w:jc w:val="both"/>
        <w:rPr>
          <w:rFonts w:asciiTheme="majorHAnsi" w:hAnsiTheme="majorHAnsi"/>
          <w:i/>
          <w:lang w:val="en-GB"/>
        </w:rPr>
      </w:pPr>
      <w:r w:rsidRPr="00C85F43">
        <w:rPr>
          <w:rFonts w:asciiTheme="majorHAnsi" w:hAnsiTheme="majorHAnsi"/>
          <w:i/>
          <w:lang w:val="en-GB"/>
        </w:rPr>
        <w:t xml:space="preserve">Equip all prison cells with separated toilets and improve sanitary conditions in penitentiary institutions in general. </w:t>
      </w:r>
    </w:p>
    <w:p w:rsidR="00AA2470" w:rsidRPr="00C85F43" w:rsidRDefault="00AA2470" w:rsidP="00AA2470">
      <w:pPr>
        <w:spacing w:after="0" w:line="240" w:lineRule="auto"/>
        <w:jc w:val="both"/>
        <w:rPr>
          <w:rFonts w:asciiTheme="majorHAnsi" w:hAnsiTheme="majorHAnsi" w:cs="Tahoma"/>
          <w:lang w:val="en-US"/>
        </w:rPr>
      </w:pPr>
    </w:p>
    <w:p w:rsidR="00AA2470" w:rsidRPr="008A6F10" w:rsidRDefault="001E2F2D" w:rsidP="00D7117E">
      <w:pPr>
        <w:pStyle w:val="Cmsor1"/>
        <w:rPr>
          <w:lang w:val="en-US"/>
        </w:rPr>
      </w:pPr>
      <w:r w:rsidRPr="008A6F10">
        <w:rPr>
          <w:lang w:val="en-US"/>
        </w:rPr>
        <w:t>Migrants</w:t>
      </w:r>
      <w:r w:rsidR="00AA2470" w:rsidRPr="008A6F10">
        <w:rPr>
          <w:lang w:val="en-US"/>
        </w:rPr>
        <w:t>, refugees and asylum-seekers</w:t>
      </w:r>
    </w:p>
    <w:p w:rsidR="00AA2470" w:rsidRPr="008A6F10" w:rsidRDefault="00AA2470" w:rsidP="00AA2470">
      <w:pPr>
        <w:spacing w:after="0" w:line="240" w:lineRule="auto"/>
        <w:rPr>
          <w:rFonts w:asciiTheme="majorHAnsi" w:hAnsiTheme="majorHAnsi" w:cs="Tahoma"/>
          <w:b/>
          <w:lang w:val="en-US"/>
        </w:rPr>
      </w:pPr>
    </w:p>
    <w:p w:rsidR="00AA2470" w:rsidRPr="008A6F10" w:rsidRDefault="00AA2470" w:rsidP="00CC79F7">
      <w:pPr>
        <w:pStyle w:val="Listaszerbekezds"/>
        <w:numPr>
          <w:ilvl w:val="0"/>
          <w:numId w:val="29"/>
        </w:numPr>
        <w:rPr>
          <w:rStyle w:val="Kiemels2"/>
          <w:lang w:val="en-US"/>
        </w:rPr>
      </w:pPr>
      <w:r w:rsidRPr="008A6F10">
        <w:rPr>
          <w:rStyle w:val="Kiemels2"/>
          <w:lang w:val="en-US"/>
        </w:rPr>
        <w:t>Serbia designated as a safe third country</w:t>
      </w:r>
    </w:p>
    <w:p w:rsidR="00AA2470" w:rsidRPr="008A6F10" w:rsidRDefault="00AA2470" w:rsidP="00AA2470">
      <w:pPr>
        <w:spacing w:after="0" w:line="240" w:lineRule="auto"/>
        <w:jc w:val="both"/>
        <w:rPr>
          <w:rFonts w:asciiTheme="majorHAnsi" w:eastAsia="Calibri" w:hAnsiTheme="majorHAnsi" w:cs="Tahoma"/>
          <w:b/>
          <w:lang w:val="en-US"/>
        </w:rPr>
      </w:pPr>
    </w:p>
    <w:p w:rsidR="00AA2470" w:rsidRPr="008A6F10" w:rsidRDefault="00AA2470" w:rsidP="00AA2470">
      <w:pPr>
        <w:spacing w:after="0" w:line="240" w:lineRule="auto"/>
        <w:jc w:val="both"/>
        <w:rPr>
          <w:rFonts w:asciiTheme="majorHAnsi" w:eastAsia="Calibri" w:hAnsiTheme="majorHAnsi" w:cs="Tahoma"/>
          <w:lang w:val="en-US" w:eastAsia="hu-HU"/>
        </w:rPr>
      </w:pPr>
      <w:r w:rsidRPr="008A6F10">
        <w:rPr>
          <w:rFonts w:asciiTheme="majorHAnsi" w:eastAsia="Calibri" w:hAnsiTheme="majorHAnsi" w:cs="Tahoma"/>
          <w:lang w:val="en-US"/>
        </w:rPr>
        <w:t>The UPR recommendation that Hungary should proceed to forced expulsions only in strict compliance with</w:t>
      </w:r>
      <w:r w:rsidR="00475E41">
        <w:rPr>
          <w:rFonts w:asciiTheme="majorHAnsi" w:eastAsia="Calibri" w:hAnsiTheme="majorHAnsi" w:cs="Tahoma"/>
          <w:lang w:val="en-US"/>
        </w:rPr>
        <w:t xml:space="preserve"> </w:t>
      </w:r>
      <w:r w:rsidRPr="008A6F10">
        <w:rPr>
          <w:rFonts w:asciiTheme="majorHAnsi" w:eastAsia="Calibri" w:hAnsiTheme="majorHAnsi" w:cs="Tahoma"/>
          <w:lang w:val="en-US"/>
        </w:rPr>
        <w:t>international and regional standards</w:t>
      </w:r>
      <w:r w:rsidR="00475E41">
        <w:rPr>
          <w:rFonts w:asciiTheme="majorHAnsi" w:eastAsia="Calibri" w:hAnsiTheme="majorHAnsi" w:cs="Tahoma"/>
          <w:lang w:val="en-US"/>
        </w:rPr>
        <w:t xml:space="preserve"> </w:t>
      </w:r>
      <w:r w:rsidRPr="008A6F10">
        <w:rPr>
          <w:rFonts w:asciiTheme="majorHAnsi" w:eastAsia="Calibri" w:hAnsiTheme="majorHAnsi" w:cs="Tahoma"/>
          <w:lang w:val="en-US"/>
        </w:rPr>
        <w:t xml:space="preserve">has only been </w:t>
      </w:r>
      <w:r w:rsidRPr="008A6F10">
        <w:rPr>
          <w:rFonts w:asciiTheme="majorHAnsi" w:eastAsia="Calibri" w:hAnsiTheme="majorHAnsi" w:cs="Tahoma"/>
          <w:lang w:val="en-US" w:eastAsia="hu-HU"/>
        </w:rPr>
        <w:t>partially implemented and there was a significant change in this regard since the mid-term report. As of July 2015, Serbia is again designated as a safe third country in a new national list of safe countries, despite the clear contrary position of the UNHCR and the Hungarian Supreme Court. This designation allows the Office of Immigration and Nationality (OIN) to reject as inadmissible almost all asylum claims, as over 99% of asylum-seekers (over 75% of whom flee from war and terror in Syria, Afghanistan and Iraq) enter Hungary through Serbia. As Serbia provides no access to effective international protection, Hungary by applying this rule will violate its obligation of non-</w:t>
      </w:r>
      <w:proofErr w:type="spellStart"/>
      <w:r w:rsidRPr="008A6F10">
        <w:rPr>
          <w:rFonts w:asciiTheme="majorHAnsi" w:eastAsia="Calibri" w:hAnsiTheme="majorHAnsi" w:cs="Tahoma"/>
          <w:lang w:val="en-US" w:eastAsia="hu-HU"/>
        </w:rPr>
        <w:t>refoulement</w:t>
      </w:r>
      <w:proofErr w:type="spellEnd"/>
      <w:r w:rsidRPr="008A6F10">
        <w:rPr>
          <w:rFonts w:asciiTheme="majorHAnsi" w:eastAsia="Calibri" w:hAnsiTheme="majorHAnsi" w:cs="Tahoma"/>
          <w:lang w:val="en-US" w:eastAsia="hu-HU"/>
        </w:rPr>
        <w:t xml:space="preserve"> and indirectly expose vulnerable asylum-seekers to a risk of torture, inhuman or degrading treatment.</w:t>
      </w:r>
    </w:p>
    <w:p w:rsidR="005054C8" w:rsidRPr="008A6F10" w:rsidRDefault="005054C8" w:rsidP="00AA2470">
      <w:pPr>
        <w:spacing w:after="0" w:line="240" w:lineRule="auto"/>
        <w:jc w:val="both"/>
        <w:rPr>
          <w:rFonts w:asciiTheme="majorHAnsi" w:hAnsiTheme="majorHAnsi" w:cs="Tahoma"/>
          <w:i/>
          <w:lang w:val="en-US"/>
        </w:rPr>
      </w:pPr>
    </w:p>
    <w:p w:rsidR="00AA2470" w:rsidRPr="008A6F10" w:rsidRDefault="00AA2470" w:rsidP="00AA2470">
      <w:pPr>
        <w:pStyle w:val="Listaszerbekezds"/>
        <w:numPr>
          <w:ilvl w:val="0"/>
          <w:numId w:val="11"/>
        </w:numPr>
        <w:contextualSpacing w:val="0"/>
        <w:rPr>
          <w:rFonts w:asciiTheme="majorHAnsi" w:eastAsia="Times New Roman" w:hAnsiTheme="majorHAnsi" w:cs="Tahoma"/>
          <w:i/>
          <w:lang w:val="en-US"/>
        </w:rPr>
      </w:pPr>
      <w:r w:rsidRPr="008A6F10">
        <w:rPr>
          <w:rFonts w:asciiTheme="majorHAnsi" w:hAnsiTheme="majorHAnsi" w:cs="Tahoma"/>
          <w:i/>
          <w:lang w:val="en-US"/>
        </w:rPr>
        <w:t>Following the recommendation of the UNHCR, delete Serbia and the FYRO Macedonia from the national list of safe third countries.</w:t>
      </w:r>
    </w:p>
    <w:p w:rsidR="00AA2470" w:rsidRPr="008A6F10" w:rsidRDefault="00AA2470" w:rsidP="00AA2470">
      <w:pPr>
        <w:spacing w:after="0" w:line="240" w:lineRule="auto"/>
        <w:jc w:val="both"/>
        <w:rPr>
          <w:rFonts w:asciiTheme="majorHAnsi" w:eastAsia="Calibri" w:hAnsiTheme="majorHAnsi" w:cs="Tahoma"/>
          <w:lang w:val="en-US" w:eastAsia="hu-HU"/>
        </w:rPr>
      </w:pPr>
    </w:p>
    <w:p w:rsidR="00AA2470" w:rsidRPr="008A6F10" w:rsidRDefault="00AA2470" w:rsidP="00AA2470">
      <w:pPr>
        <w:spacing w:after="0" w:line="240" w:lineRule="auto"/>
        <w:jc w:val="both"/>
        <w:rPr>
          <w:rFonts w:asciiTheme="majorHAnsi" w:eastAsia="Calibri" w:hAnsiTheme="majorHAnsi" w:cs="Tahoma"/>
          <w:lang w:val="en-US" w:eastAsia="hu-HU"/>
        </w:rPr>
      </w:pPr>
    </w:p>
    <w:p w:rsidR="00AA2470" w:rsidRPr="008A6F10" w:rsidRDefault="00AA2470" w:rsidP="00CC79F7">
      <w:pPr>
        <w:pStyle w:val="Listaszerbekezds"/>
        <w:numPr>
          <w:ilvl w:val="0"/>
          <w:numId w:val="29"/>
        </w:numPr>
        <w:rPr>
          <w:rStyle w:val="Kiemels2"/>
          <w:lang w:val="en-US"/>
        </w:rPr>
      </w:pPr>
      <w:r w:rsidRPr="008A6F10">
        <w:rPr>
          <w:rStyle w:val="Kiemels2"/>
          <w:lang w:val="en-US"/>
        </w:rPr>
        <w:t>The situation of asylum-seekers</w:t>
      </w:r>
    </w:p>
    <w:p w:rsidR="00AA2470" w:rsidRPr="008A6F10" w:rsidRDefault="00AA2470" w:rsidP="00AA2470">
      <w:pPr>
        <w:spacing w:after="0" w:line="240" w:lineRule="auto"/>
        <w:jc w:val="both"/>
        <w:rPr>
          <w:rFonts w:asciiTheme="majorHAnsi" w:eastAsia="Calibri" w:hAnsiTheme="majorHAnsi" w:cs="Tahoma"/>
          <w:b/>
          <w:lang w:val="en-US"/>
        </w:rPr>
      </w:pPr>
    </w:p>
    <w:p w:rsidR="00AA2470" w:rsidRPr="008A6F10" w:rsidRDefault="00AA2470" w:rsidP="00AA2470">
      <w:pPr>
        <w:spacing w:after="0" w:line="240" w:lineRule="auto"/>
        <w:jc w:val="both"/>
        <w:rPr>
          <w:rFonts w:asciiTheme="majorHAnsi" w:eastAsia="Calibri" w:hAnsiTheme="majorHAnsi" w:cs="Tahoma"/>
          <w:b/>
          <w:lang w:val="en-US"/>
        </w:rPr>
      </w:pPr>
      <w:r w:rsidRPr="008A6F10">
        <w:rPr>
          <w:rFonts w:asciiTheme="majorHAnsi" w:eastAsia="Calibri" w:hAnsiTheme="majorHAnsi" w:cs="Tahoma"/>
          <w:lang w:val="en-US"/>
        </w:rPr>
        <w:t>The UPR recommendations aimed at improving the living condition</w:t>
      </w:r>
      <w:r w:rsidR="00517018">
        <w:rPr>
          <w:rFonts w:asciiTheme="majorHAnsi" w:eastAsia="Calibri" w:hAnsiTheme="majorHAnsi" w:cs="Tahoma"/>
          <w:lang w:val="en-US"/>
        </w:rPr>
        <w:t>s of asylum-seekers have not b</w:t>
      </w:r>
      <w:r w:rsidRPr="008A6F10">
        <w:rPr>
          <w:rFonts w:asciiTheme="majorHAnsi" w:eastAsia="Calibri" w:hAnsiTheme="majorHAnsi" w:cs="Tahoma"/>
          <w:lang w:val="en-US"/>
        </w:rPr>
        <w:t>e</w:t>
      </w:r>
      <w:r w:rsidR="00517018">
        <w:rPr>
          <w:rFonts w:asciiTheme="majorHAnsi" w:eastAsia="Calibri" w:hAnsiTheme="majorHAnsi" w:cs="Tahoma"/>
          <w:lang w:val="en-US"/>
        </w:rPr>
        <w:t>i</w:t>
      </w:r>
      <w:r w:rsidRPr="008A6F10">
        <w:rPr>
          <w:rFonts w:asciiTheme="majorHAnsi" w:eastAsia="Calibri" w:hAnsiTheme="majorHAnsi" w:cs="Tahoma"/>
          <w:lang w:val="en-US"/>
        </w:rPr>
        <w:t>n</w:t>
      </w:r>
      <w:r w:rsidR="00517018">
        <w:rPr>
          <w:rFonts w:asciiTheme="majorHAnsi" w:eastAsia="Calibri" w:hAnsiTheme="majorHAnsi" w:cs="Tahoma"/>
          <w:lang w:val="en-US"/>
        </w:rPr>
        <w:t xml:space="preserve">g </w:t>
      </w:r>
      <w:r w:rsidRPr="008A6F10">
        <w:rPr>
          <w:rFonts w:asciiTheme="majorHAnsi" w:eastAsia="Calibri" w:hAnsiTheme="majorHAnsi" w:cs="Tahoma"/>
          <w:lang w:val="en-US"/>
        </w:rPr>
        <w:t xml:space="preserve">implemented and there has been a serious deterioration in this regard since the mid-term report. Notwithstanding an ever-increasing influx of asylum-seekers since 2013 and significant amounts of EU-funding, the Hungarian government has failed to properly extend the country’s reception capacities. The open reception </w:t>
      </w:r>
      <w:r w:rsidR="00517018" w:rsidRPr="008A6F10">
        <w:rPr>
          <w:rFonts w:asciiTheme="majorHAnsi" w:eastAsia="Calibri" w:hAnsiTheme="majorHAnsi" w:cs="Tahoma"/>
          <w:lang w:val="en-US"/>
        </w:rPr>
        <w:t>centers</w:t>
      </w:r>
      <w:r w:rsidRPr="008A6F10">
        <w:rPr>
          <w:rFonts w:asciiTheme="majorHAnsi" w:eastAsia="Calibri" w:hAnsiTheme="majorHAnsi" w:cs="Tahoma"/>
          <w:lang w:val="en-US"/>
        </w:rPr>
        <w:t xml:space="preserve"> for asylum-seekers have become extremely overcrowded which resulted in seriously inappropriate hygienic and other conditions (asylum-seekers sleeping on corridors and in community areas, or even outside, lack of showers, lavatories, medical and psycho-social services). In addition, a legal provision in force since August 2015 enables the OIN to specify merely the territory of a county as the designated place of stay of the asylum-seeker, instead of a reception or detention </w:t>
      </w:r>
      <w:r w:rsidR="00517018" w:rsidRPr="008A6F10">
        <w:rPr>
          <w:rFonts w:asciiTheme="majorHAnsi" w:eastAsia="Calibri" w:hAnsiTheme="majorHAnsi" w:cs="Tahoma"/>
          <w:lang w:val="en-US"/>
        </w:rPr>
        <w:t>center</w:t>
      </w:r>
      <w:r w:rsidRPr="008A6F10">
        <w:rPr>
          <w:rFonts w:asciiTheme="majorHAnsi" w:eastAsia="Calibri" w:hAnsiTheme="majorHAnsi" w:cs="Tahoma"/>
          <w:lang w:val="en-US"/>
        </w:rPr>
        <w:t xml:space="preserve">, thus converting the obligation of providing a shelter for those in need into a mere option. This change is likely to increase the danger of homelessness among asylum-seekers in Hungary. </w:t>
      </w:r>
    </w:p>
    <w:p w:rsidR="005054C8" w:rsidRPr="008A6F10" w:rsidRDefault="005054C8" w:rsidP="00AA2470">
      <w:pPr>
        <w:spacing w:after="0" w:line="240" w:lineRule="auto"/>
        <w:jc w:val="both"/>
        <w:rPr>
          <w:rFonts w:asciiTheme="majorHAnsi" w:hAnsiTheme="majorHAnsi" w:cs="Tahoma"/>
          <w:i/>
          <w:u w:val="single"/>
          <w:lang w:val="en-US"/>
        </w:rPr>
      </w:pPr>
    </w:p>
    <w:p w:rsidR="00AA2470" w:rsidRPr="008A6F10" w:rsidRDefault="00AA2470" w:rsidP="00AA2470">
      <w:pPr>
        <w:pStyle w:val="Listaszerbekezds"/>
        <w:numPr>
          <w:ilvl w:val="0"/>
          <w:numId w:val="10"/>
        </w:numPr>
        <w:contextualSpacing w:val="0"/>
        <w:rPr>
          <w:rFonts w:asciiTheme="majorHAnsi" w:hAnsiTheme="majorHAnsi" w:cs="Tahoma"/>
          <w:i/>
          <w:lang w:val="en-US"/>
        </w:rPr>
      </w:pPr>
      <w:r w:rsidRPr="008A6F10">
        <w:rPr>
          <w:rFonts w:asciiTheme="majorHAnsi" w:hAnsiTheme="majorHAnsi" w:cs="Tahoma"/>
          <w:i/>
          <w:lang w:val="en-US"/>
        </w:rPr>
        <w:t xml:space="preserve">Elaborate a national plan to reform the reception structure, based on good practices from other states and on the strong involvement of civil society and charitable </w:t>
      </w:r>
      <w:proofErr w:type="spellStart"/>
      <w:r w:rsidRPr="008A6F10">
        <w:rPr>
          <w:rFonts w:asciiTheme="majorHAnsi" w:hAnsiTheme="majorHAnsi" w:cs="Tahoma"/>
          <w:i/>
          <w:lang w:val="en-US"/>
        </w:rPr>
        <w:t>organisations</w:t>
      </w:r>
      <w:proofErr w:type="spellEnd"/>
      <w:r w:rsidRPr="008A6F10">
        <w:rPr>
          <w:rFonts w:asciiTheme="majorHAnsi" w:hAnsiTheme="majorHAnsi" w:cs="Tahoma"/>
          <w:i/>
          <w:lang w:val="en-US"/>
        </w:rPr>
        <w:t xml:space="preserve">. </w:t>
      </w:r>
    </w:p>
    <w:p w:rsidR="00AA2470" w:rsidRPr="008A6F10" w:rsidRDefault="00AA2470" w:rsidP="00AA2470">
      <w:pPr>
        <w:pStyle w:val="Listaszerbekezds"/>
        <w:numPr>
          <w:ilvl w:val="0"/>
          <w:numId w:val="10"/>
        </w:numPr>
        <w:contextualSpacing w:val="0"/>
        <w:rPr>
          <w:rFonts w:asciiTheme="majorHAnsi" w:hAnsiTheme="majorHAnsi" w:cs="Tahoma"/>
          <w:i/>
          <w:lang w:val="en-US"/>
        </w:rPr>
      </w:pPr>
      <w:r w:rsidRPr="008A6F10">
        <w:rPr>
          <w:rFonts w:asciiTheme="majorHAnsi" w:hAnsiTheme="majorHAnsi" w:cs="Tahoma"/>
          <w:i/>
          <w:lang w:val="en-US"/>
        </w:rPr>
        <w:t>Establish a reception structure that is based on smaller units and involves local communities to the maximum extent.</w:t>
      </w:r>
    </w:p>
    <w:p w:rsidR="00AA2470" w:rsidRPr="008A6F10" w:rsidRDefault="00AA2470" w:rsidP="00AA2470">
      <w:pPr>
        <w:pStyle w:val="Listaszerbekezds"/>
        <w:numPr>
          <w:ilvl w:val="0"/>
          <w:numId w:val="10"/>
        </w:numPr>
        <w:contextualSpacing w:val="0"/>
        <w:rPr>
          <w:rFonts w:asciiTheme="majorHAnsi" w:eastAsia="Times New Roman" w:hAnsiTheme="majorHAnsi" w:cs="Tahoma"/>
          <w:i/>
          <w:lang w:val="en-US"/>
        </w:rPr>
      </w:pPr>
      <w:r w:rsidRPr="008A6F10">
        <w:rPr>
          <w:rFonts w:asciiTheme="majorHAnsi" w:hAnsiTheme="majorHAnsi" w:cs="Tahoma"/>
          <w:i/>
          <w:lang w:val="en-US"/>
        </w:rPr>
        <w:t>Amend the legislation so that it provides an obligation for the Office of Immigration and Nationality to ensure the accommodation of asylum-seekers during the entire asylum procedure (in case they are not able to pay for their own accommodation).</w:t>
      </w:r>
    </w:p>
    <w:p w:rsidR="00AA2470" w:rsidRPr="008A6F10" w:rsidRDefault="00AA2470" w:rsidP="00AA2470">
      <w:pPr>
        <w:spacing w:after="0" w:line="240" w:lineRule="auto"/>
        <w:jc w:val="both"/>
        <w:rPr>
          <w:rFonts w:asciiTheme="majorHAnsi" w:eastAsia="Calibri" w:hAnsiTheme="majorHAnsi" w:cs="Tahoma"/>
          <w:i/>
          <w:lang w:val="en-US"/>
        </w:rPr>
      </w:pPr>
    </w:p>
    <w:p w:rsidR="00D9106F" w:rsidRPr="008A6F10" w:rsidRDefault="00D9106F" w:rsidP="001C1735">
      <w:pPr>
        <w:rPr>
          <w:rFonts w:asciiTheme="majorHAnsi" w:hAnsiTheme="majorHAnsi"/>
          <w:lang w:val="en-US"/>
        </w:rPr>
      </w:pPr>
    </w:p>
    <w:p w:rsidR="00C85F43" w:rsidRPr="00CC79F7" w:rsidRDefault="00C85F43" w:rsidP="00C85F43">
      <w:pPr>
        <w:pStyle w:val="Cmsor1"/>
        <w:rPr>
          <w:lang w:val="en-US"/>
        </w:rPr>
      </w:pPr>
      <w:r w:rsidRPr="00CC79F7">
        <w:rPr>
          <w:lang w:val="en-US"/>
        </w:rPr>
        <w:t xml:space="preserve">People with disabilities </w:t>
      </w:r>
    </w:p>
    <w:p w:rsidR="00C85F43" w:rsidRPr="00CC79F7" w:rsidRDefault="00C85F43" w:rsidP="00C85F43">
      <w:pPr>
        <w:spacing w:after="0" w:line="240" w:lineRule="auto"/>
        <w:jc w:val="both"/>
        <w:rPr>
          <w:rFonts w:asciiTheme="majorHAnsi" w:hAnsiTheme="majorHAnsi"/>
          <w:b/>
          <w:lang w:val="en-US"/>
        </w:rPr>
      </w:pPr>
    </w:p>
    <w:p w:rsidR="00C85F43" w:rsidRPr="00CC79F7" w:rsidRDefault="00C85F43" w:rsidP="00C85F43">
      <w:pPr>
        <w:pStyle w:val="Listaszerbekezds"/>
        <w:numPr>
          <w:ilvl w:val="0"/>
          <w:numId w:val="30"/>
        </w:numPr>
        <w:rPr>
          <w:rFonts w:asciiTheme="majorHAnsi" w:hAnsiTheme="majorHAnsi"/>
          <w:b/>
          <w:lang w:val="en-US"/>
        </w:rPr>
      </w:pPr>
      <w:r w:rsidRPr="00CC79F7">
        <w:rPr>
          <w:rFonts w:asciiTheme="majorHAnsi" w:hAnsiTheme="majorHAnsi"/>
          <w:b/>
          <w:lang w:val="en-US"/>
        </w:rPr>
        <w:t xml:space="preserve">Monitoring of the </w:t>
      </w:r>
      <w:r w:rsidRPr="00CC79F7">
        <w:rPr>
          <w:rStyle w:val="Kiemels2"/>
          <w:lang w:val="en-US"/>
        </w:rPr>
        <w:t>rights</w:t>
      </w:r>
      <w:r w:rsidRPr="00CC79F7">
        <w:rPr>
          <w:rFonts w:asciiTheme="majorHAnsi" w:hAnsiTheme="majorHAnsi"/>
          <w:b/>
          <w:lang w:val="en-US"/>
        </w:rPr>
        <w:t>, care and treatment of people with mental disabilities</w:t>
      </w:r>
    </w:p>
    <w:p w:rsidR="00C85F43" w:rsidRPr="00CC79F7" w:rsidRDefault="00C85F43" w:rsidP="00C85F43">
      <w:pPr>
        <w:pStyle w:val="Listaszerbekezds"/>
        <w:ind w:left="0"/>
        <w:contextualSpacing w:val="0"/>
        <w:rPr>
          <w:rFonts w:asciiTheme="majorHAnsi" w:eastAsia="Times New Roman" w:hAnsiTheme="majorHAnsi" w:cs="Tahoma"/>
          <w:b/>
          <w:i/>
          <w:lang w:val="en-US"/>
        </w:rPr>
      </w:pPr>
      <w:r w:rsidRPr="00CC79F7">
        <w:rPr>
          <w:rFonts w:asciiTheme="majorHAnsi" w:hAnsiTheme="majorHAnsi" w:cs="Arial"/>
          <w:bCs/>
          <w:lang w:val="en-US"/>
        </w:rPr>
        <w:t xml:space="preserve">The Government still has not established </w:t>
      </w:r>
      <w:r w:rsidRPr="00CC79F7">
        <w:rPr>
          <w:rFonts w:asciiTheme="majorHAnsi" w:hAnsiTheme="majorHAnsi" w:cs="Arial"/>
          <w:lang w:val="en-US"/>
        </w:rPr>
        <w:t xml:space="preserve">any robust independent mechanisms with the mandate of monitoring the implementation of the CRPD. </w:t>
      </w:r>
    </w:p>
    <w:p w:rsidR="00C85F43" w:rsidRPr="00CC79F7" w:rsidRDefault="00C85F43" w:rsidP="00C85F43">
      <w:pPr>
        <w:pStyle w:val="Listaszerbekezds"/>
        <w:numPr>
          <w:ilvl w:val="0"/>
          <w:numId w:val="12"/>
        </w:numPr>
        <w:ind w:left="709"/>
        <w:contextualSpacing w:val="0"/>
        <w:rPr>
          <w:rFonts w:asciiTheme="majorHAnsi" w:eastAsia="Times New Roman" w:hAnsiTheme="majorHAnsi" w:cs="Tahoma"/>
          <w:i/>
          <w:lang w:val="en-US"/>
        </w:rPr>
      </w:pPr>
      <w:r w:rsidRPr="00CC79F7">
        <w:rPr>
          <w:rFonts w:asciiTheme="majorHAnsi" w:hAnsiTheme="majorHAnsi"/>
          <w:i/>
          <w:lang w:val="en-US"/>
        </w:rPr>
        <w:t>Take</w:t>
      </w:r>
      <w:r w:rsidR="00CD77BF">
        <w:rPr>
          <w:rFonts w:asciiTheme="majorHAnsi" w:hAnsiTheme="majorHAnsi"/>
          <w:i/>
          <w:lang w:val="en-US"/>
        </w:rPr>
        <w:t xml:space="preserve"> immediate action to establish – </w:t>
      </w:r>
      <w:r w:rsidRPr="00CC79F7">
        <w:rPr>
          <w:rFonts w:asciiTheme="majorHAnsi" w:hAnsiTheme="majorHAnsi"/>
          <w:i/>
          <w:lang w:val="en-US"/>
        </w:rPr>
        <w:t>as prescrib</w:t>
      </w:r>
      <w:r w:rsidR="00CD77BF">
        <w:rPr>
          <w:rFonts w:asciiTheme="majorHAnsi" w:hAnsiTheme="majorHAnsi"/>
          <w:i/>
          <w:lang w:val="en-US"/>
        </w:rPr>
        <w:t xml:space="preserve">ed in Article 33(2) of the CRPD – </w:t>
      </w:r>
      <w:r w:rsidRPr="00CC79F7">
        <w:rPr>
          <w:rFonts w:asciiTheme="majorHAnsi" w:hAnsiTheme="majorHAnsi"/>
          <w:i/>
          <w:lang w:val="en-US"/>
        </w:rPr>
        <w:t>an independent monitoring mechanism in line with t</w:t>
      </w:r>
      <w:r w:rsidR="00CB172F">
        <w:rPr>
          <w:rFonts w:asciiTheme="majorHAnsi" w:hAnsiTheme="majorHAnsi"/>
          <w:i/>
          <w:lang w:val="en-US"/>
        </w:rPr>
        <w:t>he Paris Principles, which promotes</w:t>
      </w:r>
      <w:r w:rsidRPr="00CC79F7">
        <w:rPr>
          <w:rFonts w:asciiTheme="majorHAnsi" w:hAnsiTheme="majorHAnsi"/>
          <w:i/>
          <w:lang w:val="en-US"/>
        </w:rPr>
        <w:t xml:space="preserve">, protects and monitors the implementation of the CRPD in Hungary. </w:t>
      </w:r>
    </w:p>
    <w:p w:rsidR="00C85F43" w:rsidRPr="00CC79F7" w:rsidRDefault="00C85F43" w:rsidP="00C85F43">
      <w:pPr>
        <w:rPr>
          <w:rFonts w:asciiTheme="majorHAnsi" w:eastAsia="Times New Roman" w:hAnsiTheme="majorHAnsi"/>
          <w:b/>
          <w:lang w:val="en-US"/>
        </w:rPr>
      </w:pPr>
    </w:p>
    <w:p w:rsidR="00C85F43" w:rsidRPr="00CC79F7" w:rsidRDefault="00C85F43" w:rsidP="00C85F43">
      <w:pPr>
        <w:pStyle w:val="Listaszerbekezds"/>
        <w:numPr>
          <w:ilvl w:val="0"/>
          <w:numId w:val="30"/>
        </w:numPr>
        <w:rPr>
          <w:rFonts w:asciiTheme="majorHAnsi" w:eastAsia="Times New Roman" w:hAnsiTheme="majorHAnsi" w:cs="Tahoma"/>
          <w:b/>
          <w:lang w:val="en-US"/>
        </w:rPr>
      </w:pPr>
      <w:r w:rsidRPr="00CC79F7">
        <w:rPr>
          <w:rFonts w:asciiTheme="majorHAnsi" w:hAnsiTheme="majorHAnsi"/>
          <w:b/>
          <w:lang w:val="en-US"/>
        </w:rPr>
        <w:t xml:space="preserve">Equal recognition </w:t>
      </w:r>
      <w:r w:rsidRPr="00CC79F7">
        <w:rPr>
          <w:rStyle w:val="Kiemels2"/>
          <w:lang w:val="en-US"/>
        </w:rPr>
        <w:t>before</w:t>
      </w:r>
      <w:r w:rsidRPr="00CC79F7">
        <w:rPr>
          <w:rFonts w:asciiTheme="majorHAnsi" w:hAnsiTheme="majorHAnsi"/>
          <w:b/>
          <w:lang w:val="en-US"/>
        </w:rPr>
        <w:t xml:space="preserve"> the law: guardianship vs. supported decision making</w:t>
      </w:r>
    </w:p>
    <w:p w:rsidR="00C85F43" w:rsidRPr="00CC79F7" w:rsidRDefault="00C85F43" w:rsidP="00C85F43">
      <w:pPr>
        <w:pStyle w:val="Listaszerbekezds"/>
        <w:ind w:left="0"/>
        <w:rPr>
          <w:rFonts w:asciiTheme="majorHAnsi" w:hAnsiTheme="majorHAnsi"/>
          <w:lang w:val="en-US"/>
        </w:rPr>
      </w:pPr>
      <w:r w:rsidRPr="00CC79F7">
        <w:rPr>
          <w:rFonts w:asciiTheme="majorHAnsi" w:hAnsiTheme="majorHAnsi"/>
          <w:lang w:val="en-US"/>
        </w:rPr>
        <w:t>The new Civil Code</w:t>
      </w:r>
      <w:r>
        <w:rPr>
          <w:rStyle w:val="Lbjegyzet-hivatkozs"/>
          <w:rFonts w:asciiTheme="majorHAnsi" w:hAnsiTheme="majorHAnsi"/>
          <w:lang w:val="en-US"/>
        </w:rPr>
        <w:footnoteReference w:id="20"/>
      </w:r>
      <w:r w:rsidRPr="00CC79F7">
        <w:rPr>
          <w:rFonts w:asciiTheme="majorHAnsi" w:hAnsiTheme="majorHAnsi"/>
          <w:lang w:val="en-US"/>
        </w:rPr>
        <w:t xml:space="preserve"> maintains the possibility of placing people with intellectual and psycho-social disabilities under plenary or partial guardianship</w:t>
      </w:r>
      <w:r>
        <w:rPr>
          <w:rFonts w:asciiTheme="majorHAnsi" w:hAnsiTheme="majorHAnsi"/>
          <w:lang w:val="en-US"/>
        </w:rPr>
        <w:t>,</w:t>
      </w:r>
      <w:r>
        <w:rPr>
          <w:rStyle w:val="Lbjegyzet-hivatkozs"/>
          <w:rFonts w:asciiTheme="majorHAnsi" w:hAnsiTheme="majorHAnsi"/>
          <w:lang w:val="en-US"/>
        </w:rPr>
        <w:footnoteReference w:id="21"/>
      </w:r>
      <w:r w:rsidR="00C46FD7">
        <w:rPr>
          <w:rFonts w:asciiTheme="majorHAnsi" w:hAnsiTheme="majorHAnsi"/>
          <w:lang w:val="en-US"/>
        </w:rPr>
        <w:t xml:space="preserve"> </w:t>
      </w:r>
      <w:r>
        <w:rPr>
          <w:rFonts w:asciiTheme="majorHAnsi" w:hAnsiTheme="majorHAnsi"/>
          <w:lang w:val="en-US"/>
        </w:rPr>
        <w:t xml:space="preserve">through which they </w:t>
      </w:r>
      <w:r w:rsidRPr="00CC79F7">
        <w:rPr>
          <w:rFonts w:asciiTheme="majorHAnsi" w:hAnsiTheme="majorHAnsi"/>
          <w:lang w:val="en-US"/>
        </w:rPr>
        <w:t xml:space="preserve">are denied to make legally valid decisions </w:t>
      </w:r>
      <w:r w:rsidR="00CD77BF">
        <w:rPr>
          <w:rFonts w:asciiTheme="majorHAnsi" w:hAnsiTheme="majorHAnsi"/>
          <w:lang w:val="en-US"/>
        </w:rPr>
        <w:t xml:space="preserve">on an equal basis with others. </w:t>
      </w:r>
      <w:r w:rsidRPr="00CC79F7">
        <w:rPr>
          <w:rFonts w:asciiTheme="majorHAnsi" w:hAnsiTheme="majorHAnsi"/>
          <w:lang w:val="en-US"/>
        </w:rPr>
        <w:t>Those whose legal capacity is fully restricted are even deprived</w:t>
      </w:r>
      <w:r w:rsidR="00997554">
        <w:rPr>
          <w:rFonts w:asciiTheme="majorHAnsi" w:hAnsiTheme="majorHAnsi"/>
          <w:lang w:val="en-US"/>
        </w:rPr>
        <w:t xml:space="preserve"> </w:t>
      </w:r>
      <w:bookmarkStart w:id="1" w:name="_GoBack"/>
      <w:bookmarkEnd w:id="1"/>
      <w:r w:rsidRPr="00CC79F7">
        <w:rPr>
          <w:rFonts w:asciiTheme="majorHAnsi" w:hAnsiTheme="majorHAnsi"/>
          <w:lang w:val="en-US"/>
        </w:rPr>
        <w:lastRenderedPageBreak/>
        <w:t>of the rights to marry,</w:t>
      </w:r>
      <w:r w:rsidRPr="00CC79F7">
        <w:rPr>
          <w:rFonts w:asciiTheme="majorHAnsi" w:hAnsiTheme="majorHAnsi"/>
          <w:vertAlign w:val="superscript"/>
          <w:lang w:val="en-US"/>
        </w:rPr>
        <w:footnoteReference w:id="22"/>
      </w:r>
      <w:r w:rsidRPr="00CC79F7">
        <w:rPr>
          <w:rFonts w:asciiTheme="majorHAnsi" w:hAnsiTheme="majorHAnsi"/>
          <w:lang w:val="en-US"/>
        </w:rPr>
        <w:t xml:space="preserve"> make a will,</w:t>
      </w:r>
      <w:r w:rsidRPr="00CC79F7">
        <w:rPr>
          <w:rFonts w:asciiTheme="majorHAnsi" w:hAnsiTheme="majorHAnsi"/>
          <w:vertAlign w:val="superscript"/>
          <w:lang w:val="en-US"/>
        </w:rPr>
        <w:footnoteReference w:id="23"/>
      </w:r>
      <w:r w:rsidRPr="00CC79F7">
        <w:rPr>
          <w:rFonts w:asciiTheme="majorHAnsi" w:hAnsiTheme="majorHAnsi"/>
          <w:lang w:val="en-US"/>
        </w:rPr>
        <w:t xml:space="preserve"> adopt children,</w:t>
      </w:r>
      <w:r w:rsidRPr="00CC79F7">
        <w:rPr>
          <w:rFonts w:asciiTheme="majorHAnsi" w:hAnsiTheme="majorHAnsi"/>
          <w:vertAlign w:val="superscript"/>
          <w:lang w:val="en-US"/>
        </w:rPr>
        <w:footnoteReference w:id="24"/>
      </w:r>
      <w:r w:rsidRPr="00CC79F7">
        <w:rPr>
          <w:rFonts w:asciiTheme="majorHAnsi" w:hAnsiTheme="majorHAnsi"/>
          <w:lang w:val="en-US"/>
        </w:rPr>
        <w:t xml:space="preserve"> give and withdraw informed consent for medical treatment,</w:t>
      </w:r>
      <w:r w:rsidRPr="00CC79F7">
        <w:rPr>
          <w:rFonts w:asciiTheme="majorHAnsi" w:hAnsiTheme="majorHAnsi"/>
          <w:vertAlign w:val="superscript"/>
          <w:lang w:val="en-US"/>
        </w:rPr>
        <w:footnoteReference w:id="25"/>
      </w:r>
      <w:r w:rsidRPr="00CC79F7">
        <w:rPr>
          <w:rFonts w:asciiTheme="majorHAnsi" w:hAnsiTheme="majorHAnsi"/>
          <w:lang w:val="en-US"/>
        </w:rPr>
        <w:t xml:space="preserve"> access justice,</w:t>
      </w:r>
      <w:r w:rsidRPr="00CC79F7">
        <w:rPr>
          <w:rFonts w:asciiTheme="majorHAnsi" w:hAnsiTheme="majorHAnsi"/>
          <w:vertAlign w:val="superscript"/>
          <w:lang w:val="en-US"/>
        </w:rPr>
        <w:footnoteReference w:id="26"/>
      </w:r>
      <w:r w:rsidRPr="00CC79F7">
        <w:rPr>
          <w:rFonts w:asciiTheme="majorHAnsi" w:hAnsiTheme="majorHAnsi"/>
          <w:lang w:val="en-US"/>
        </w:rPr>
        <w:t xml:space="preserve"> and choose a place of residence.</w:t>
      </w:r>
      <w:r w:rsidRPr="00CC79F7">
        <w:rPr>
          <w:rFonts w:asciiTheme="majorHAnsi" w:hAnsiTheme="majorHAnsi"/>
          <w:vertAlign w:val="superscript"/>
          <w:lang w:val="en-US"/>
        </w:rPr>
        <w:footnoteReference w:id="27"/>
      </w:r>
    </w:p>
    <w:p w:rsidR="00C85F43" w:rsidRPr="00CC79F7" w:rsidRDefault="00C85F43" w:rsidP="00C85F43">
      <w:pPr>
        <w:pStyle w:val="Listaszerbekezds"/>
        <w:ind w:left="0"/>
        <w:rPr>
          <w:rFonts w:asciiTheme="majorHAnsi" w:hAnsiTheme="majorHAnsi"/>
          <w:lang w:val="en-US" w:bidi="en-US"/>
        </w:rPr>
      </w:pPr>
      <w:r>
        <w:rPr>
          <w:rFonts w:asciiTheme="majorHAnsi" w:hAnsiTheme="majorHAnsi"/>
          <w:lang w:val="en-US" w:bidi="en-US"/>
        </w:rPr>
        <w:t>S</w:t>
      </w:r>
      <w:r w:rsidRPr="00CC79F7">
        <w:rPr>
          <w:rFonts w:asciiTheme="majorHAnsi" w:hAnsiTheme="majorHAnsi"/>
          <w:lang w:val="en-US" w:bidi="en-US"/>
        </w:rPr>
        <w:t xml:space="preserve">upported decision-making </w:t>
      </w:r>
      <w:r>
        <w:rPr>
          <w:rFonts w:asciiTheme="majorHAnsi" w:hAnsiTheme="majorHAnsi"/>
          <w:lang w:val="en-US" w:bidi="en-US"/>
        </w:rPr>
        <w:t xml:space="preserve">has been introduced </w:t>
      </w:r>
      <w:r w:rsidRPr="00CC79F7">
        <w:rPr>
          <w:rFonts w:asciiTheme="majorHAnsi" w:hAnsiTheme="majorHAnsi"/>
          <w:lang w:val="en-US" w:bidi="en-US"/>
        </w:rPr>
        <w:t xml:space="preserve">in a form which is limiting the availability of </w:t>
      </w:r>
      <w:r>
        <w:rPr>
          <w:rFonts w:asciiTheme="majorHAnsi" w:hAnsiTheme="majorHAnsi"/>
          <w:lang w:val="en-US" w:bidi="en-US"/>
        </w:rPr>
        <w:t xml:space="preserve">this service </w:t>
      </w:r>
      <w:r w:rsidRPr="00CC79F7">
        <w:rPr>
          <w:rFonts w:asciiTheme="majorHAnsi" w:hAnsiTheme="majorHAnsi"/>
          <w:lang w:val="en-US" w:bidi="en-US"/>
        </w:rPr>
        <w:t xml:space="preserve">to persons with “minor decrease in their mental capacity”. It is the guardianship authority that appoints </w:t>
      </w:r>
      <w:r>
        <w:rPr>
          <w:rFonts w:asciiTheme="majorHAnsi" w:hAnsiTheme="majorHAnsi"/>
          <w:lang w:val="en-US" w:bidi="en-US"/>
        </w:rPr>
        <w:t>two</w:t>
      </w:r>
      <w:r w:rsidRPr="00CC79F7">
        <w:rPr>
          <w:rFonts w:asciiTheme="majorHAnsi" w:hAnsiTheme="majorHAnsi"/>
          <w:lang w:val="en-US" w:bidi="en-US"/>
        </w:rPr>
        <w:t xml:space="preserve"> supporters</w:t>
      </w:r>
      <w:r>
        <w:rPr>
          <w:rFonts w:asciiTheme="majorHAnsi" w:hAnsiTheme="majorHAnsi"/>
          <w:lang w:val="en-US" w:bidi="en-US"/>
        </w:rPr>
        <w:t xml:space="preserve"> maximum</w:t>
      </w:r>
      <w:r w:rsidRPr="00CC79F7">
        <w:rPr>
          <w:rFonts w:asciiTheme="majorHAnsi" w:hAnsiTheme="majorHAnsi"/>
          <w:lang w:val="en-US" w:bidi="en-US"/>
        </w:rPr>
        <w:t>. A professional supporter is allowed to provide assistance to 30</w:t>
      </w:r>
      <w:r>
        <w:rPr>
          <w:rFonts w:asciiTheme="majorHAnsi" w:hAnsiTheme="majorHAnsi"/>
          <w:lang w:val="en-US" w:bidi="en-US"/>
        </w:rPr>
        <w:t>-45</w:t>
      </w:r>
      <w:r w:rsidRPr="00CC79F7">
        <w:rPr>
          <w:rFonts w:asciiTheme="majorHAnsi" w:hAnsiTheme="majorHAnsi"/>
          <w:lang w:val="en-US" w:bidi="en-US"/>
        </w:rPr>
        <w:t xml:space="preserve"> people simultaneously,</w:t>
      </w:r>
      <w:r w:rsidRPr="00CC79F7">
        <w:rPr>
          <w:rFonts w:asciiTheme="majorHAnsi" w:hAnsiTheme="majorHAnsi"/>
          <w:vertAlign w:val="superscript"/>
          <w:lang w:val="en-US" w:bidi="en-US"/>
        </w:rPr>
        <w:footnoteReference w:id="28"/>
      </w:r>
      <w:r w:rsidRPr="00CC79F7">
        <w:rPr>
          <w:rFonts w:asciiTheme="majorHAnsi" w:hAnsiTheme="majorHAnsi"/>
          <w:lang w:val="en-US" w:bidi="en-US"/>
        </w:rPr>
        <w:t xml:space="preserve"> which deprives the system of its core element, trust and personal relationship between the supporter and the supported person. A further problem is that neither the public, nor the courts and public guardians understand the essentials of supported decision-making, as a result of which it is rarely applied in practice. </w:t>
      </w:r>
    </w:p>
    <w:p w:rsidR="00C85F43" w:rsidRPr="00CC79F7" w:rsidRDefault="00C85F43" w:rsidP="00C85F43">
      <w:pPr>
        <w:pStyle w:val="Listaszerbekezds"/>
        <w:ind w:left="0"/>
        <w:rPr>
          <w:rFonts w:asciiTheme="majorHAnsi" w:hAnsiTheme="majorHAnsi"/>
          <w:lang w:val="en-US" w:bidi="en-US"/>
        </w:rPr>
      </w:pPr>
    </w:p>
    <w:p w:rsidR="006619CF" w:rsidRPr="00CC79F7" w:rsidRDefault="006619CF" w:rsidP="006619CF">
      <w:pPr>
        <w:pStyle w:val="Listaszerbekezds"/>
        <w:numPr>
          <w:ilvl w:val="0"/>
          <w:numId w:val="12"/>
        </w:numPr>
        <w:ind w:left="709"/>
        <w:contextualSpacing w:val="0"/>
        <w:rPr>
          <w:rFonts w:asciiTheme="majorHAnsi" w:eastAsia="Times New Roman" w:hAnsiTheme="majorHAnsi" w:cs="Tahoma"/>
          <w:i/>
          <w:lang w:val="en-US"/>
        </w:rPr>
      </w:pPr>
      <w:r w:rsidRPr="00CC79F7">
        <w:rPr>
          <w:rFonts w:asciiTheme="majorHAnsi" w:hAnsiTheme="majorHAnsi"/>
          <w:i/>
          <w:lang w:val="en-US"/>
        </w:rPr>
        <w:t xml:space="preserve">Amend the relevant sections of the Civil Code in accordance with the CRPD by abolishing plenary </w:t>
      </w:r>
      <w:r>
        <w:rPr>
          <w:rFonts w:asciiTheme="majorHAnsi" w:hAnsiTheme="majorHAnsi"/>
          <w:i/>
          <w:lang w:val="en-US"/>
        </w:rPr>
        <w:t>and partial guardianship for persons with mental disabilities</w:t>
      </w:r>
      <w:r w:rsidRPr="00CC79F7">
        <w:rPr>
          <w:rFonts w:asciiTheme="majorHAnsi" w:hAnsiTheme="majorHAnsi"/>
          <w:i/>
          <w:lang w:val="en-US"/>
        </w:rPr>
        <w:t>.</w:t>
      </w:r>
    </w:p>
    <w:p w:rsidR="003C5A9A" w:rsidRPr="00CC79F7" w:rsidRDefault="003C5A9A" w:rsidP="003C5A9A">
      <w:pPr>
        <w:pStyle w:val="Listaszerbekezds"/>
        <w:numPr>
          <w:ilvl w:val="0"/>
          <w:numId w:val="12"/>
        </w:numPr>
        <w:ind w:left="709"/>
        <w:rPr>
          <w:rFonts w:asciiTheme="majorHAnsi" w:hAnsiTheme="majorHAnsi"/>
          <w:i/>
          <w:lang w:val="en-US"/>
        </w:rPr>
      </w:pPr>
      <w:r w:rsidRPr="00CC79F7">
        <w:rPr>
          <w:rFonts w:asciiTheme="majorHAnsi" w:hAnsiTheme="majorHAnsi"/>
          <w:i/>
          <w:lang w:val="en-US"/>
        </w:rPr>
        <w:t xml:space="preserve">Make supported decision-making a real alternative </w:t>
      </w:r>
      <w:r>
        <w:rPr>
          <w:rFonts w:asciiTheme="majorHAnsi" w:hAnsiTheme="majorHAnsi"/>
          <w:i/>
          <w:lang w:val="en-US"/>
        </w:rPr>
        <w:t>to</w:t>
      </w:r>
      <w:r w:rsidRPr="00CC79F7">
        <w:rPr>
          <w:rFonts w:asciiTheme="majorHAnsi" w:hAnsiTheme="majorHAnsi"/>
          <w:i/>
          <w:lang w:val="en-US"/>
        </w:rPr>
        <w:t xml:space="preserve"> substituted decision-making by promoting it, raising awareness of the public, judges, public guardians and other professionals, and making it available for all people with mental disabilities</w:t>
      </w:r>
      <w:r>
        <w:rPr>
          <w:rFonts w:asciiTheme="majorHAnsi" w:hAnsiTheme="majorHAnsi"/>
          <w:i/>
          <w:lang w:val="en-US"/>
        </w:rPr>
        <w:t>, regardless of the level of their impairment</w:t>
      </w:r>
      <w:r w:rsidRPr="00CC79F7">
        <w:rPr>
          <w:rFonts w:asciiTheme="majorHAnsi" w:hAnsiTheme="majorHAnsi"/>
          <w:i/>
          <w:lang w:val="en-US"/>
        </w:rPr>
        <w:t>.</w:t>
      </w:r>
    </w:p>
    <w:p w:rsidR="00C85F43" w:rsidRPr="00CC79F7" w:rsidRDefault="00C85F43" w:rsidP="00C85F43">
      <w:pPr>
        <w:pStyle w:val="Listaszerbekezds"/>
        <w:ind w:left="0"/>
        <w:rPr>
          <w:rFonts w:asciiTheme="majorHAnsi" w:hAnsiTheme="majorHAnsi"/>
          <w:lang w:val="en-US" w:bidi="en-US"/>
        </w:rPr>
      </w:pPr>
    </w:p>
    <w:p w:rsidR="00C85F43" w:rsidRPr="00CC79F7" w:rsidRDefault="00C85F43" w:rsidP="00C85F43">
      <w:pPr>
        <w:pStyle w:val="Listaszerbekezds"/>
        <w:numPr>
          <w:ilvl w:val="0"/>
          <w:numId w:val="30"/>
        </w:numPr>
        <w:rPr>
          <w:rStyle w:val="Kiemels2"/>
          <w:lang w:val="en-US"/>
        </w:rPr>
      </w:pPr>
      <w:r w:rsidRPr="00CC79F7">
        <w:rPr>
          <w:rStyle w:val="Kiemels2"/>
          <w:lang w:val="en-US"/>
        </w:rPr>
        <w:t xml:space="preserve">Right to live in the community vs. </w:t>
      </w:r>
      <w:proofErr w:type="spellStart"/>
      <w:r w:rsidRPr="00CC79F7">
        <w:rPr>
          <w:rStyle w:val="Kiemels2"/>
          <w:lang w:val="en-US"/>
        </w:rPr>
        <w:t>institutionalisation</w:t>
      </w:r>
      <w:proofErr w:type="spellEnd"/>
    </w:p>
    <w:p w:rsidR="00C85F43" w:rsidRPr="00CC79F7" w:rsidRDefault="00C85F43" w:rsidP="00C85F43">
      <w:pPr>
        <w:pStyle w:val="Listaszerbekezds"/>
        <w:ind w:left="0"/>
      </w:pPr>
      <w:r>
        <w:rPr>
          <w:rFonts w:asciiTheme="majorHAnsi" w:eastAsia="Times New Roman" w:hAnsiTheme="majorHAnsi"/>
          <w:lang w:val="en-US"/>
        </w:rPr>
        <w:t>A</w:t>
      </w:r>
      <w:r w:rsidRPr="00CC79F7">
        <w:rPr>
          <w:rFonts w:asciiTheme="majorHAnsi" w:eastAsia="Times New Roman" w:hAnsiTheme="majorHAnsi"/>
          <w:lang w:val="en-US"/>
        </w:rPr>
        <w:t xml:space="preserve">round 25,000 people with disabilities </w:t>
      </w:r>
      <w:r>
        <w:rPr>
          <w:rFonts w:asciiTheme="majorHAnsi" w:eastAsia="Times New Roman" w:hAnsiTheme="majorHAnsi"/>
          <w:lang w:val="en-US"/>
        </w:rPr>
        <w:t xml:space="preserve">are </w:t>
      </w:r>
      <w:r w:rsidRPr="00CC79F7">
        <w:rPr>
          <w:rFonts w:asciiTheme="majorHAnsi" w:eastAsia="Times New Roman" w:hAnsiTheme="majorHAnsi"/>
          <w:lang w:val="en-US"/>
        </w:rPr>
        <w:t>placed in large scale institutions</w:t>
      </w:r>
      <w:r>
        <w:rPr>
          <w:rStyle w:val="Lbjegyzet-hivatkozs"/>
          <w:rFonts w:asciiTheme="majorHAnsi" w:eastAsia="Times New Roman" w:hAnsiTheme="majorHAnsi"/>
          <w:lang w:val="en-US"/>
        </w:rPr>
        <w:footnoteReference w:id="29"/>
      </w:r>
      <w:r w:rsidRPr="00CC79F7">
        <w:rPr>
          <w:rFonts w:asciiTheme="majorHAnsi" w:eastAsia="Times New Roman" w:hAnsiTheme="majorHAnsi"/>
          <w:lang w:val="en-US"/>
        </w:rPr>
        <w:t xml:space="preserve"> where residents are often subjected to several forms of ill-treatment and abuse.</w:t>
      </w:r>
      <w:r w:rsidRPr="00CC79F7">
        <w:rPr>
          <w:rStyle w:val="Lbjegyzet-hivatkozs"/>
          <w:rFonts w:asciiTheme="majorHAnsi" w:eastAsia="Times New Roman" w:hAnsiTheme="majorHAnsi"/>
          <w:lang w:val="en-US"/>
        </w:rPr>
        <w:footnoteReference w:id="30"/>
      </w:r>
      <w:r w:rsidR="00494F93">
        <w:rPr>
          <w:rFonts w:asciiTheme="majorHAnsi" w:eastAsia="Times New Roman" w:hAnsiTheme="majorHAnsi"/>
          <w:lang w:val="en-US"/>
        </w:rPr>
        <w:t xml:space="preserve"> </w:t>
      </w:r>
      <w:r>
        <w:rPr>
          <w:rFonts w:asciiTheme="majorHAnsi" w:hAnsiTheme="majorHAnsi"/>
          <w:lang w:val="en-US"/>
        </w:rPr>
        <w:t>The</w:t>
      </w:r>
      <w:r w:rsidRPr="00CC79F7">
        <w:rPr>
          <w:rFonts w:asciiTheme="majorHAnsi" w:hAnsiTheme="majorHAnsi"/>
          <w:lang w:val="en-US"/>
        </w:rPr>
        <w:t xml:space="preserve"> European Union Structural Funds </w:t>
      </w:r>
      <w:r>
        <w:rPr>
          <w:rFonts w:asciiTheme="majorHAnsi" w:hAnsiTheme="majorHAnsi"/>
          <w:lang w:val="en-US"/>
        </w:rPr>
        <w:t xml:space="preserve">allocated </w:t>
      </w:r>
      <w:r w:rsidRPr="00CC79F7">
        <w:rPr>
          <w:rFonts w:asciiTheme="majorHAnsi" w:hAnsiTheme="majorHAnsi"/>
          <w:lang w:val="en-US"/>
        </w:rPr>
        <w:t>6 billion HUF</w:t>
      </w:r>
      <w:r>
        <w:rPr>
          <w:rStyle w:val="Lbjegyzet-hivatkozs"/>
          <w:rFonts w:asciiTheme="majorHAnsi" w:hAnsiTheme="majorHAnsi"/>
          <w:lang w:val="en-US"/>
        </w:rPr>
        <w:footnoteReference w:id="31"/>
      </w:r>
      <w:r w:rsidRPr="00CC79F7">
        <w:rPr>
          <w:rFonts w:asciiTheme="majorHAnsi" w:hAnsiTheme="majorHAnsi"/>
          <w:lang w:val="en-US"/>
        </w:rPr>
        <w:t xml:space="preserve"> for moving people with mental disabilities out of large institutions to smaller living centers, group homes or apartments</w:t>
      </w:r>
      <w:r>
        <w:rPr>
          <w:rFonts w:asciiTheme="majorHAnsi" w:hAnsiTheme="majorHAnsi"/>
          <w:lang w:val="en-US"/>
        </w:rPr>
        <w:t xml:space="preserve"> in Hungary</w:t>
      </w:r>
      <w:r w:rsidRPr="00CC79F7">
        <w:rPr>
          <w:rFonts w:asciiTheme="majorHAnsi" w:hAnsiTheme="majorHAnsi"/>
          <w:lang w:val="en-US"/>
        </w:rPr>
        <w:t>. However, the user’s involvement in the transformation process was insufficient and the alternatives of institutions provide congregate care and still reflect the institutional model.</w:t>
      </w:r>
    </w:p>
    <w:p w:rsidR="00BA5CE7" w:rsidRPr="00CC79F7" w:rsidRDefault="00BA5CE7" w:rsidP="00BA5CE7">
      <w:pPr>
        <w:pStyle w:val="Listaszerbekezds"/>
        <w:numPr>
          <w:ilvl w:val="0"/>
          <w:numId w:val="12"/>
        </w:numPr>
        <w:ind w:left="709"/>
        <w:rPr>
          <w:rFonts w:asciiTheme="majorHAnsi" w:eastAsia="Times New Roman" w:hAnsiTheme="majorHAnsi"/>
          <w:i/>
          <w:lang w:val="en-US"/>
        </w:rPr>
      </w:pPr>
      <w:r w:rsidRPr="00CC79F7">
        <w:rPr>
          <w:rFonts w:asciiTheme="majorHAnsi" w:hAnsiTheme="majorHAnsi"/>
          <w:i/>
          <w:lang w:val="en-US"/>
        </w:rPr>
        <w:t xml:space="preserve">Immediately stop spending funds on refurbishing existing institutions and creating new, smaller institutions in which residents will continue to be segregated and deprived of their right to live in the community. </w:t>
      </w:r>
      <w:r>
        <w:rPr>
          <w:rFonts w:asciiTheme="majorHAnsi" w:hAnsiTheme="majorHAnsi"/>
          <w:i/>
          <w:lang w:val="en-US"/>
        </w:rPr>
        <w:t xml:space="preserve">Instead, reallocate funding to increase the accessibility of general public services for persons with disabilities, and to develop </w:t>
      </w:r>
      <w:proofErr w:type="spellStart"/>
      <w:r>
        <w:rPr>
          <w:rFonts w:asciiTheme="majorHAnsi" w:hAnsiTheme="majorHAnsi"/>
          <w:i/>
          <w:lang w:val="en-US"/>
        </w:rPr>
        <w:t>individualised</w:t>
      </w:r>
      <w:proofErr w:type="spellEnd"/>
      <w:r>
        <w:rPr>
          <w:rFonts w:asciiTheme="majorHAnsi" w:hAnsiTheme="majorHAnsi"/>
          <w:i/>
          <w:lang w:val="en-US"/>
        </w:rPr>
        <w:t xml:space="preserve"> community-based services.</w:t>
      </w:r>
    </w:p>
    <w:p w:rsidR="00BA5CE7" w:rsidRPr="00FB217C" w:rsidRDefault="00BA5CE7" w:rsidP="00BA5CE7">
      <w:pPr>
        <w:pStyle w:val="Listaszerbekezds"/>
        <w:numPr>
          <w:ilvl w:val="0"/>
          <w:numId w:val="12"/>
        </w:numPr>
        <w:ind w:left="709"/>
        <w:rPr>
          <w:rFonts w:asciiTheme="majorHAnsi" w:eastAsia="Times New Roman" w:hAnsiTheme="majorHAnsi"/>
          <w:i/>
          <w:lang w:val="en-US"/>
        </w:rPr>
      </w:pPr>
      <w:r w:rsidRPr="00CC79F7">
        <w:rPr>
          <w:rFonts w:asciiTheme="majorHAnsi" w:eastAsia="Times New Roman" w:hAnsiTheme="majorHAnsi"/>
          <w:i/>
          <w:lang w:val="en-US"/>
        </w:rPr>
        <w:t xml:space="preserve">Ensure that children with disabilities enjoy their right to live in a family and community environment on an equal basis with other children by providing appropriate support to them and their families. </w:t>
      </w:r>
    </w:p>
    <w:p w:rsidR="00FB217C" w:rsidRPr="008F1947" w:rsidRDefault="00FB217C" w:rsidP="00FB217C">
      <w:pPr>
        <w:rPr>
          <w:rFonts w:ascii="Calibri Light" w:hAnsi="Calibri Light"/>
          <w:b/>
          <w:lang w:val="en-US"/>
        </w:rPr>
      </w:pPr>
    </w:p>
    <w:p w:rsidR="00FB217C" w:rsidRPr="008F1947" w:rsidRDefault="00FB217C" w:rsidP="00FB217C">
      <w:pPr>
        <w:pStyle w:val="Listaszerbekezds"/>
        <w:numPr>
          <w:ilvl w:val="0"/>
          <w:numId w:val="30"/>
        </w:numPr>
        <w:rPr>
          <w:rFonts w:ascii="Calibri Light" w:hAnsi="Calibri Light"/>
          <w:b/>
          <w:lang w:val="en-GB"/>
        </w:rPr>
      </w:pPr>
      <w:r w:rsidRPr="008F1947">
        <w:rPr>
          <w:rFonts w:ascii="Calibri Light" w:hAnsi="Calibri Light"/>
          <w:b/>
          <w:lang w:val="en-GB"/>
        </w:rPr>
        <w:t>Education</w:t>
      </w:r>
      <w:r>
        <w:rPr>
          <w:rStyle w:val="Lbjegyzet-hivatkozs"/>
          <w:rFonts w:ascii="Calibri Light" w:hAnsi="Calibri Light"/>
          <w:b/>
          <w:lang w:val="en-GB"/>
        </w:rPr>
        <w:footnoteReference w:id="32"/>
      </w:r>
    </w:p>
    <w:p w:rsidR="00FB217C" w:rsidRPr="008F1947" w:rsidRDefault="00FB217C" w:rsidP="00FB217C">
      <w:pPr>
        <w:spacing w:after="0" w:line="240" w:lineRule="auto"/>
        <w:jc w:val="both"/>
        <w:rPr>
          <w:rFonts w:ascii="Calibri Light" w:eastAsia="Times New Roman" w:hAnsi="Calibri Light" w:cs="Times New Roman"/>
          <w:lang w:val="en-GB"/>
        </w:rPr>
      </w:pPr>
    </w:p>
    <w:p w:rsidR="00FB217C" w:rsidRPr="008F1947" w:rsidRDefault="00FB217C" w:rsidP="00FB217C">
      <w:pPr>
        <w:spacing w:after="0" w:line="240" w:lineRule="auto"/>
        <w:jc w:val="both"/>
        <w:rPr>
          <w:rFonts w:ascii="Calibri Light" w:eastAsia="Times New Roman" w:hAnsi="Calibri Light" w:cs="Times New Roman"/>
          <w:lang w:val="en-GB"/>
        </w:rPr>
      </w:pPr>
      <w:r w:rsidRPr="008F1947">
        <w:rPr>
          <w:rFonts w:ascii="Calibri Light" w:eastAsia="Times New Roman" w:hAnsi="Calibri Light" w:cs="Times New Roman"/>
          <w:lang w:val="en-GB"/>
        </w:rPr>
        <w:lastRenderedPageBreak/>
        <w:t xml:space="preserve">Children with disabilities do not receive appropriate education due to the lack of conditions required for their academic and social development in schools close to their place of living. Travel to remote schools is disproportionate burden both for them and their family. Due to the lack of appropriate knowledge of teachers on disability the effective individualized educational development of these children is not guaranteed. Possibilities of adults with disability to take part in further training and/or retraining are even more restricted, as a consequence, they leave schools earlier than their peers, </w:t>
      </w:r>
      <w:proofErr w:type="gramStart"/>
      <w:r w:rsidRPr="008F1947">
        <w:rPr>
          <w:rFonts w:ascii="Calibri Light" w:eastAsia="Times New Roman" w:hAnsi="Calibri Light" w:cs="Times New Roman"/>
          <w:lang w:val="en-GB"/>
        </w:rPr>
        <w:t>it</w:t>
      </w:r>
      <w:proofErr w:type="gramEnd"/>
      <w:r w:rsidRPr="008F1947">
        <w:rPr>
          <w:rFonts w:ascii="Calibri Light" w:eastAsia="Times New Roman" w:hAnsi="Calibri Light" w:cs="Times New Roman"/>
          <w:lang w:val="en-GB"/>
        </w:rPr>
        <w:t xml:space="preserve"> reduces their chances to find work in the labour market. </w:t>
      </w:r>
    </w:p>
    <w:p w:rsidR="00FB217C" w:rsidRPr="008F1947" w:rsidRDefault="00FB217C" w:rsidP="00FB217C">
      <w:pPr>
        <w:spacing w:after="0" w:line="240" w:lineRule="auto"/>
        <w:jc w:val="both"/>
        <w:rPr>
          <w:rFonts w:ascii="Calibri Light" w:eastAsia="Times New Roman" w:hAnsi="Calibri Light" w:cs="Times New Roman"/>
          <w:lang w:val="en-GB"/>
        </w:rPr>
      </w:pPr>
    </w:p>
    <w:p w:rsidR="00B104B9" w:rsidRPr="00B104B9" w:rsidRDefault="00B104B9" w:rsidP="00FB217C">
      <w:pPr>
        <w:pStyle w:val="Listaszerbekezds"/>
        <w:numPr>
          <w:ilvl w:val="0"/>
          <w:numId w:val="12"/>
        </w:numPr>
        <w:ind w:left="709"/>
        <w:rPr>
          <w:rFonts w:ascii="Calibri Light" w:eastAsia="Times New Roman" w:hAnsi="Calibri Light"/>
          <w:lang w:val="en-GB"/>
        </w:rPr>
      </w:pPr>
      <w:r w:rsidRPr="008F1947">
        <w:rPr>
          <w:rFonts w:ascii="Calibri Light" w:hAnsi="Calibri Light"/>
          <w:i/>
          <w:lang w:val="en-GB"/>
        </w:rPr>
        <w:t xml:space="preserve">Take immediate actions to ensure inclusive primary and secondary education for </w:t>
      </w:r>
      <w:r>
        <w:rPr>
          <w:rFonts w:ascii="Calibri Light" w:hAnsi="Calibri Light"/>
          <w:i/>
          <w:lang w:val="en-GB"/>
        </w:rPr>
        <w:t xml:space="preserve">all </w:t>
      </w:r>
      <w:r w:rsidRPr="008F1947">
        <w:rPr>
          <w:rFonts w:ascii="Calibri Light" w:hAnsi="Calibri Light"/>
          <w:i/>
          <w:lang w:val="en-GB"/>
        </w:rPr>
        <w:t>children with disabilities as close as possible to their own place of living including rural areas</w:t>
      </w:r>
      <w:r>
        <w:rPr>
          <w:rFonts w:ascii="Calibri Light" w:hAnsi="Calibri Light"/>
          <w:i/>
          <w:lang w:val="en-GB"/>
        </w:rPr>
        <w:t>, and phase out the placement of children with disabilities in separate schools or classes.</w:t>
      </w:r>
    </w:p>
    <w:p w:rsidR="00FB217C" w:rsidRPr="008F1947" w:rsidRDefault="00FB217C" w:rsidP="00FB217C">
      <w:pPr>
        <w:pStyle w:val="Listaszerbekezds"/>
        <w:numPr>
          <w:ilvl w:val="0"/>
          <w:numId w:val="12"/>
        </w:numPr>
        <w:ind w:left="709"/>
        <w:rPr>
          <w:rFonts w:ascii="Calibri Light" w:eastAsia="Times New Roman" w:hAnsi="Calibri Light"/>
          <w:lang w:val="en-GB"/>
        </w:rPr>
      </w:pPr>
      <w:r w:rsidRPr="008F1947">
        <w:rPr>
          <w:rFonts w:ascii="Calibri Light" w:hAnsi="Calibri Light"/>
          <w:i/>
          <w:lang w:val="en-GB"/>
        </w:rPr>
        <w:t>Provide appropriate training, retraining for teachers and other educational professionals on the needs of pupils and students with disabilities.</w:t>
      </w:r>
    </w:p>
    <w:p w:rsidR="00FB217C" w:rsidRPr="008F1947" w:rsidRDefault="00FB217C" w:rsidP="00FB217C">
      <w:pPr>
        <w:pStyle w:val="Listaszerbekezds"/>
        <w:numPr>
          <w:ilvl w:val="0"/>
          <w:numId w:val="12"/>
        </w:numPr>
        <w:ind w:left="709"/>
        <w:rPr>
          <w:rFonts w:ascii="Calibri Light" w:eastAsia="Times New Roman" w:hAnsi="Calibri Light"/>
          <w:lang w:val="en-GB"/>
        </w:rPr>
      </w:pPr>
      <w:r w:rsidRPr="008F1947">
        <w:rPr>
          <w:rFonts w:ascii="Calibri Light" w:hAnsi="Calibri Light"/>
          <w:i/>
          <w:lang w:val="en-GB"/>
        </w:rPr>
        <w:t>Take immediate actions to ensure inclusive adult education, including lifelong learning for persons with disabilities by providing them reasonable accommodat</w:t>
      </w:r>
      <w:r w:rsidR="0000708E">
        <w:rPr>
          <w:rFonts w:ascii="Calibri Light" w:hAnsi="Calibri Light"/>
          <w:i/>
          <w:lang w:val="en-GB"/>
        </w:rPr>
        <w:t xml:space="preserve">ion in line with </w:t>
      </w:r>
      <w:r w:rsidRPr="008F1947">
        <w:rPr>
          <w:rFonts w:ascii="Calibri Light" w:hAnsi="Calibri Light"/>
          <w:i/>
          <w:lang w:val="en-GB"/>
        </w:rPr>
        <w:t>Article 24 of the CRPD.</w:t>
      </w:r>
    </w:p>
    <w:p w:rsidR="00FB217C" w:rsidRPr="008F1947" w:rsidRDefault="00FB217C" w:rsidP="00FB217C">
      <w:pPr>
        <w:spacing w:after="0" w:line="240" w:lineRule="auto"/>
        <w:jc w:val="both"/>
        <w:rPr>
          <w:rFonts w:ascii="Calibri Light" w:eastAsia="Times New Roman" w:hAnsi="Calibri Light" w:cs="Times New Roman"/>
          <w:lang w:val="en-GB"/>
        </w:rPr>
      </w:pPr>
    </w:p>
    <w:p w:rsidR="00FB217C" w:rsidRPr="008F1947" w:rsidRDefault="00FB217C" w:rsidP="00FB217C">
      <w:pPr>
        <w:spacing w:after="0" w:line="240" w:lineRule="auto"/>
        <w:rPr>
          <w:rFonts w:ascii="Calibri Light" w:eastAsia="Times New Roman" w:hAnsi="Calibri Light" w:cs="Times New Roman"/>
          <w:b/>
          <w:lang w:val="en-GB"/>
        </w:rPr>
      </w:pPr>
    </w:p>
    <w:p w:rsidR="00FB217C" w:rsidRPr="008F1947" w:rsidRDefault="00FB217C" w:rsidP="00FB217C">
      <w:pPr>
        <w:pStyle w:val="Listaszerbekezds"/>
        <w:numPr>
          <w:ilvl w:val="0"/>
          <w:numId w:val="30"/>
        </w:numPr>
        <w:rPr>
          <w:rFonts w:ascii="Calibri Light" w:eastAsia="Times New Roman" w:hAnsi="Calibri Light"/>
          <w:b/>
          <w:lang w:val="en-GB"/>
        </w:rPr>
      </w:pPr>
      <w:r w:rsidRPr="008F1947">
        <w:rPr>
          <w:rFonts w:ascii="Calibri Light" w:eastAsia="Times New Roman" w:hAnsi="Calibri Light"/>
          <w:b/>
          <w:lang w:val="en-GB"/>
        </w:rPr>
        <w:t>Health care</w:t>
      </w:r>
    </w:p>
    <w:p w:rsidR="00FB217C" w:rsidRPr="008F1947" w:rsidRDefault="00FB217C" w:rsidP="00FB217C">
      <w:pPr>
        <w:spacing w:after="0" w:line="240" w:lineRule="auto"/>
        <w:jc w:val="both"/>
        <w:rPr>
          <w:rFonts w:ascii="Calibri Light" w:eastAsia="Times New Roman" w:hAnsi="Calibri Light" w:cs="Times New Roman"/>
          <w:lang w:val="en-GB"/>
        </w:rPr>
      </w:pPr>
      <w:r w:rsidRPr="008F1947">
        <w:rPr>
          <w:rFonts w:ascii="Calibri Light" w:eastAsia="Times New Roman" w:hAnsi="Calibri Light" w:cs="Times New Roman"/>
          <w:lang w:val="en-GB"/>
        </w:rPr>
        <w:t xml:space="preserve">People with severe or multiple disabilities often do not receive even the basic medical treatment either because health care professionals have no knowledge on their needs and on how to communicate with them, or because appropriate medical treatment is not available close their residence. </w:t>
      </w:r>
    </w:p>
    <w:p w:rsidR="00FB217C" w:rsidRPr="008F1947" w:rsidRDefault="00FB217C" w:rsidP="00FB217C">
      <w:pPr>
        <w:spacing w:after="0" w:line="240" w:lineRule="auto"/>
        <w:jc w:val="both"/>
        <w:rPr>
          <w:rFonts w:ascii="Calibri Light" w:eastAsia="Times New Roman" w:hAnsi="Calibri Light" w:cs="Times New Roman"/>
          <w:lang w:val="en-GB"/>
        </w:rPr>
      </w:pPr>
    </w:p>
    <w:p w:rsidR="00FB217C" w:rsidRPr="008F1947" w:rsidRDefault="00FB217C" w:rsidP="00FB217C">
      <w:pPr>
        <w:pStyle w:val="Listaszerbekezds"/>
        <w:numPr>
          <w:ilvl w:val="0"/>
          <w:numId w:val="22"/>
        </w:numPr>
        <w:ind w:left="709"/>
        <w:rPr>
          <w:rFonts w:ascii="Calibri Light" w:eastAsia="Times New Roman" w:hAnsi="Calibri Light"/>
          <w:i/>
          <w:lang w:val="en-GB"/>
        </w:rPr>
      </w:pPr>
      <w:r w:rsidRPr="008F1947">
        <w:rPr>
          <w:rFonts w:ascii="Calibri Light" w:hAnsi="Calibri Light"/>
          <w:i/>
          <w:lang w:val="en-GB"/>
        </w:rPr>
        <w:t>Take immediate actions to ensure the accessibility of appropriate health care for persons with disabilities as close as possible to their own place of living, including rural areas in line with the CRPD.</w:t>
      </w:r>
    </w:p>
    <w:p w:rsidR="00FB217C" w:rsidRPr="008F1947" w:rsidRDefault="00FB217C" w:rsidP="00FB217C">
      <w:pPr>
        <w:spacing w:after="0" w:line="240" w:lineRule="auto"/>
        <w:jc w:val="both"/>
        <w:rPr>
          <w:rFonts w:ascii="Calibri Light" w:eastAsia="Times New Roman" w:hAnsi="Calibri Light" w:cs="Times New Roman"/>
          <w:lang w:val="en-GB"/>
        </w:rPr>
      </w:pPr>
    </w:p>
    <w:p w:rsidR="00FB217C" w:rsidRPr="008F1947" w:rsidRDefault="00FB217C" w:rsidP="00FB217C">
      <w:pPr>
        <w:pStyle w:val="Listaszerbekezds"/>
        <w:ind w:left="0"/>
        <w:rPr>
          <w:rFonts w:ascii="Calibri Light" w:hAnsi="Calibri Light"/>
          <w:lang w:val="en-GB" w:bidi="en-US"/>
        </w:rPr>
      </w:pPr>
    </w:p>
    <w:p w:rsidR="00FB217C" w:rsidRPr="008F1947" w:rsidRDefault="00FB217C" w:rsidP="00FB217C">
      <w:pPr>
        <w:pStyle w:val="Listaszerbekezds"/>
        <w:numPr>
          <w:ilvl w:val="0"/>
          <w:numId w:val="30"/>
        </w:numPr>
        <w:rPr>
          <w:rFonts w:ascii="Calibri Light" w:hAnsi="Calibri Light"/>
          <w:b/>
          <w:lang w:val="en-GB" w:bidi="en-US"/>
        </w:rPr>
      </w:pPr>
      <w:r w:rsidRPr="008F1947">
        <w:rPr>
          <w:rFonts w:ascii="Calibri Light" w:hAnsi="Calibri Light"/>
          <w:b/>
          <w:lang w:val="en-GB" w:bidi="en-US"/>
        </w:rPr>
        <w:t>Accessibility</w:t>
      </w:r>
    </w:p>
    <w:p w:rsidR="00FB217C" w:rsidRDefault="00FB217C" w:rsidP="00FB217C">
      <w:pPr>
        <w:pStyle w:val="Listaszerbekezds"/>
        <w:ind w:left="0"/>
        <w:rPr>
          <w:rFonts w:ascii="Calibri Light" w:hAnsi="Calibri Light"/>
          <w:lang w:val="en-GB" w:bidi="en-US"/>
        </w:rPr>
      </w:pPr>
      <w:r w:rsidRPr="008F1947">
        <w:rPr>
          <w:rFonts w:ascii="Calibri Light" w:hAnsi="Calibri Light"/>
          <w:lang w:val="en-GB" w:bidi="en-US"/>
        </w:rPr>
        <w:t>Legal deadline to make public buildings and public transport accessible were several times modified and finally deleted with the amendment in 2013 of the Act no. XXVI of 1998 on ensuring rights and equal opportunities for persons with disabilities. An Action Plan for 2015-2018 for the implementation of the National Program on Disability for 2015-2025 has been recently adopted by the Government. However, the accessibil</w:t>
      </w:r>
      <w:r w:rsidR="00311C90">
        <w:rPr>
          <w:rFonts w:ascii="Calibri Light" w:hAnsi="Calibri Light"/>
          <w:lang w:val="en-GB" w:bidi="en-US"/>
        </w:rPr>
        <w:t xml:space="preserve">ity duties required by this </w:t>
      </w:r>
      <w:r w:rsidRPr="008F1947">
        <w:rPr>
          <w:rFonts w:ascii="Calibri Light" w:hAnsi="Calibri Light"/>
          <w:lang w:val="en-GB" w:bidi="en-US"/>
        </w:rPr>
        <w:t xml:space="preserve">Action Plan are significantly narrower than the ones mandated previously. </w:t>
      </w:r>
    </w:p>
    <w:p w:rsidR="0085266A" w:rsidRDefault="0085266A" w:rsidP="00FB217C">
      <w:pPr>
        <w:pStyle w:val="Listaszerbekezds"/>
        <w:ind w:left="0"/>
        <w:rPr>
          <w:rFonts w:ascii="Calibri Light" w:hAnsi="Calibri Light"/>
          <w:lang w:val="en-GB" w:bidi="en-US"/>
        </w:rPr>
      </w:pPr>
    </w:p>
    <w:p w:rsidR="0085266A" w:rsidRPr="0085266A" w:rsidRDefault="0085266A" w:rsidP="0085266A">
      <w:pPr>
        <w:rPr>
          <w:rFonts w:ascii="Calibri Light" w:hAnsi="Calibri Light"/>
          <w:lang w:val="en-US" w:bidi="en-US"/>
        </w:rPr>
      </w:pPr>
      <w:r w:rsidRPr="0085266A">
        <w:rPr>
          <w:rFonts w:ascii="Calibri Light" w:hAnsi="Calibri Light"/>
          <w:lang w:val="en-US" w:bidi="en-US"/>
        </w:rPr>
        <w:t>The government has no accurate database on the actual status of accessibility in Hungary.</w:t>
      </w:r>
    </w:p>
    <w:p w:rsidR="0085266A" w:rsidRPr="008F1947" w:rsidRDefault="0085266A" w:rsidP="0085266A">
      <w:pPr>
        <w:pStyle w:val="Listaszerbekezds"/>
        <w:ind w:left="0"/>
        <w:rPr>
          <w:rFonts w:ascii="Calibri Light" w:hAnsi="Calibri Light"/>
          <w:lang w:val="en-GB" w:bidi="en-US"/>
        </w:rPr>
      </w:pPr>
      <w:r w:rsidRPr="0085266A">
        <w:rPr>
          <w:rFonts w:ascii="Calibri Light" w:hAnsi="Calibri Light"/>
          <w:lang w:val="en-US" w:bidi="en-US"/>
        </w:rPr>
        <w:t xml:space="preserve">In 2012 the government abolished the disability pension system and replaced it with a disability benefit scheme, which is by nature less predictable. A new medical assessment was also introduced, due to which many people completely lost their entitlement for disability benefits, while the ones still being entitled receive a significantly smaller contribution than in the previous system. At the same time the majority of people with disabilities are not able to find a job in the </w:t>
      </w:r>
      <w:proofErr w:type="spellStart"/>
      <w:r w:rsidRPr="0085266A">
        <w:rPr>
          <w:rFonts w:ascii="Calibri Light" w:hAnsi="Calibri Light"/>
          <w:lang w:val="en-US" w:bidi="en-US"/>
        </w:rPr>
        <w:t>labour</w:t>
      </w:r>
      <w:proofErr w:type="spellEnd"/>
      <w:r w:rsidRPr="0085266A">
        <w:rPr>
          <w:rFonts w:ascii="Calibri Light" w:hAnsi="Calibri Light"/>
          <w:lang w:val="en-US" w:bidi="en-US"/>
        </w:rPr>
        <w:t xml:space="preserve"> market.</w:t>
      </w:r>
    </w:p>
    <w:p w:rsidR="00FB217C" w:rsidRPr="008F1947" w:rsidRDefault="00FB217C" w:rsidP="00FB217C">
      <w:pPr>
        <w:pStyle w:val="Listaszerbekezds"/>
        <w:ind w:left="0"/>
        <w:rPr>
          <w:rFonts w:ascii="Calibri Light" w:hAnsi="Calibri Light"/>
          <w:lang w:val="en-GB" w:bidi="en-US"/>
        </w:rPr>
      </w:pPr>
    </w:p>
    <w:p w:rsidR="00FB217C" w:rsidRPr="008F1947" w:rsidRDefault="0085266A" w:rsidP="00FB217C">
      <w:pPr>
        <w:pStyle w:val="Listaszerbekezds"/>
        <w:numPr>
          <w:ilvl w:val="0"/>
          <w:numId w:val="21"/>
        </w:numPr>
        <w:ind w:left="709"/>
        <w:rPr>
          <w:rFonts w:ascii="Calibri Light" w:hAnsi="Calibri Light"/>
          <w:i/>
          <w:lang w:val="en-GB" w:bidi="en-US"/>
        </w:rPr>
      </w:pPr>
      <w:r>
        <w:rPr>
          <w:rFonts w:ascii="Calibri Light" w:hAnsi="Calibri Light"/>
          <w:i/>
          <w:lang w:val="en-GB" w:bidi="en-US"/>
        </w:rPr>
        <w:t>S</w:t>
      </w:r>
      <w:r w:rsidR="00FB217C" w:rsidRPr="008F1947">
        <w:rPr>
          <w:rFonts w:ascii="Calibri Light" w:hAnsi="Calibri Light"/>
          <w:i/>
          <w:lang w:val="en-GB" w:bidi="en-US"/>
        </w:rPr>
        <w:t>et out final deadlines to the elimination of the physical and communicational barriers in the field of public transportation and services open to th</w:t>
      </w:r>
      <w:r>
        <w:rPr>
          <w:rFonts w:ascii="Calibri Light" w:hAnsi="Calibri Light"/>
          <w:i/>
          <w:lang w:val="en-GB" w:bidi="en-US"/>
        </w:rPr>
        <w:t>e public. I</w:t>
      </w:r>
      <w:r w:rsidR="00FB217C" w:rsidRPr="008F1947">
        <w:rPr>
          <w:rFonts w:ascii="Calibri Light" w:hAnsi="Calibri Light"/>
          <w:i/>
          <w:lang w:val="en-GB" w:bidi="en-US"/>
        </w:rPr>
        <w:t>mprove the monitoring mechanism and its database on accessibility.</w:t>
      </w:r>
    </w:p>
    <w:p w:rsidR="00C85F43" w:rsidRPr="00FB217C" w:rsidRDefault="0085266A" w:rsidP="00FB217C">
      <w:pPr>
        <w:pStyle w:val="Listaszerbekezds"/>
        <w:numPr>
          <w:ilvl w:val="0"/>
          <w:numId w:val="21"/>
        </w:numPr>
        <w:ind w:left="709"/>
        <w:rPr>
          <w:rFonts w:ascii="Calibri Light" w:hAnsi="Calibri Light"/>
          <w:i/>
          <w:lang w:val="en-GB" w:bidi="en-US"/>
        </w:rPr>
      </w:pPr>
      <w:r>
        <w:rPr>
          <w:rFonts w:ascii="Calibri Light" w:hAnsi="Calibri Light"/>
          <w:i/>
          <w:lang w:val="en-GB" w:bidi="en-US"/>
        </w:rPr>
        <w:t>E</w:t>
      </w:r>
      <w:r w:rsidR="00FB217C" w:rsidRPr="008F1947">
        <w:rPr>
          <w:rFonts w:ascii="Calibri Light" w:hAnsi="Calibri Light"/>
          <w:i/>
          <w:lang w:val="en-GB" w:bidi="en-US"/>
        </w:rPr>
        <w:t xml:space="preserve">nsure sufficient sources </w:t>
      </w:r>
      <w:r>
        <w:rPr>
          <w:rFonts w:ascii="Calibri Light" w:hAnsi="Calibri Light"/>
          <w:i/>
          <w:lang w:val="en-GB" w:bidi="en-US"/>
        </w:rPr>
        <w:t xml:space="preserve">to eliminate barriers and </w:t>
      </w:r>
      <w:r w:rsidR="00FB217C" w:rsidRPr="008F1947">
        <w:rPr>
          <w:rFonts w:ascii="Calibri Light" w:hAnsi="Calibri Light"/>
          <w:i/>
          <w:lang w:val="en-GB" w:bidi="en-US"/>
        </w:rPr>
        <w:t>pursue the principle of universal design in close consultation with representative organisations of persons with disabilities  to make the “result” accessible in practice also, not only in theory.</w:t>
      </w:r>
    </w:p>
    <w:p w:rsidR="00C85F43" w:rsidRPr="00CC79F7" w:rsidRDefault="00C85F43" w:rsidP="00C85F43">
      <w:pPr>
        <w:pStyle w:val="Listaszerbekezds"/>
        <w:ind w:left="0"/>
        <w:rPr>
          <w:rFonts w:asciiTheme="majorHAnsi" w:hAnsiTheme="majorHAnsi"/>
          <w:lang w:val="en-US" w:bidi="en-US"/>
        </w:rPr>
      </w:pPr>
    </w:p>
    <w:p w:rsidR="00AA2470" w:rsidRPr="0000708E" w:rsidRDefault="00AA2470" w:rsidP="0000708E">
      <w:pPr>
        <w:tabs>
          <w:tab w:val="left" w:pos="1545"/>
        </w:tabs>
        <w:rPr>
          <w:rFonts w:asciiTheme="majorHAnsi" w:hAnsiTheme="majorHAnsi"/>
          <w:lang w:val="en-US" w:bidi="en-US"/>
        </w:rPr>
      </w:pPr>
    </w:p>
    <w:p w:rsidR="00086C82" w:rsidRPr="008A6F10" w:rsidRDefault="00086C82" w:rsidP="00D7117E">
      <w:pPr>
        <w:pStyle w:val="Cmsor1"/>
        <w:rPr>
          <w:lang w:val="en-US"/>
        </w:rPr>
      </w:pPr>
      <w:r w:rsidRPr="008A6F10">
        <w:rPr>
          <w:lang w:val="en-US"/>
        </w:rPr>
        <w:lastRenderedPageBreak/>
        <w:t>Women’s rights</w:t>
      </w:r>
    </w:p>
    <w:p w:rsidR="00086C82" w:rsidRPr="008A6F10" w:rsidRDefault="00086C82" w:rsidP="001C1735">
      <w:pPr>
        <w:spacing w:after="0" w:line="240" w:lineRule="auto"/>
        <w:jc w:val="both"/>
        <w:rPr>
          <w:rFonts w:asciiTheme="majorHAnsi" w:hAnsiTheme="majorHAnsi" w:cs="Arial"/>
          <w:lang w:val="en-US"/>
        </w:rPr>
      </w:pPr>
    </w:p>
    <w:p w:rsidR="00086C82" w:rsidRPr="008A6F10" w:rsidRDefault="00086C82" w:rsidP="001C1735">
      <w:pPr>
        <w:spacing w:after="0" w:line="240" w:lineRule="auto"/>
        <w:jc w:val="both"/>
        <w:rPr>
          <w:rFonts w:asciiTheme="majorHAnsi" w:hAnsiTheme="majorHAnsi" w:cs="Times New Roman"/>
          <w:lang w:val="en-US"/>
        </w:rPr>
      </w:pPr>
      <w:r w:rsidRPr="008A6F10">
        <w:rPr>
          <w:rFonts w:asciiTheme="majorHAnsi" w:hAnsiTheme="majorHAnsi" w:cs="Times New Roman"/>
          <w:lang w:val="en-US"/>
        </w:rPr>
        <w:t>There has been insufficient progress in complying with women’s rights norms: most of the UN CEDAW Committee’s recommendations from 2013 hav</w:t>
      </w:r>
      <w:r w:rsidR="001C679F">
        <w:rPr>
          <w:rFonts w:asciiTheme="majorHAnsi" w:hAnsiTheme="majorHAnsi" w:cs="Times New Roman"/>
          <w:lang w:val="en-US"/>
        </w:rPr>
        <w:t>e not been implemented so far</w:t>
      </w:r>
      <w:r w:rsidRPr="008A6F10">
        <w:rPr>
          <w:rFonts w:asciiTheme="majorHAnsi" w:hAnsiTheme="majorHAnsi" w:cs="Times New Roman"/>
          <w:lang w:val="en-US"/>
        </w:rPr>
        <w:t>, no implementation plan has been elaborated for that purpose. Furthermore, the current government promotes traditional gender r</w:t>
      </w:r>
      <w:r w:rsidR="001C679F">
        <w:rPr>
          <w:rFonts w:asciiTheme="majorHAnsi" w:hAnsiTheme="majorHAnsi" w:cs="Times New Roman"/>
          <w:lang w:val="en-US"/>
        </w:rPr>
        <w:t xml:space="preserve">oles </w:t>
      </w:r>
      <w:r w:rsidRPr="008A6F10">
        <w:rPr>
          <w:rFonts w:asciiTheme="majorHAnsi" w:hAnsiTheme="majorHAnsi" w:cs="Times New Roman"/>
          <w:lang w:val="en-US"/>
        </w:rPr>
        <w:t>through several communications and measures, in the context of the desired</w:t>
      </w:r>
      <w:r w:rsidR="00155544">
        <w:rPr>
          <w:rFonts w:asciiTheme="majorHAnsi" w:hAnsiTheme="majorHAnsi" w:cs="Times New Roman"/>
          <w:lang w:val="en-US"/>
        </w:rPr>
        <w:t xml:space="preserve"> demographic increase.</w:t>
      </w:r>
    </w:p>
    <w:p w:rsidR="00086C82" w:rsidRPr="008A6F10" w:rsidRDefault="00086C82" w:rsidP="001C1735">
      <w:pPr>
        <w:spacing w:after="0" w:line="240" w:lineRule="auto"/>
        <w:jc w:val="both"/>
        <w:rPr>
          <w:rFonts w:asciiTheme="majorHAnsi" w:hAnsiTheme="majorHAnsi" w:cs="Times New Roman"/>
          <w:lang w:val="en-US"/>
        </w:rPr>
      </w:pPr>
    </w:p>
    <w:p w:rsidR="00086C82" w:rsidRPr="008A6F10" w:rsidRDefault="00086C82" w:rsidP="001C1735">
      <w:pPr>
        <w:spacing w:after="0" w:line="240" w:lineRule="auto"/>
        <w:jc w:val="both"/>
        <w:rPr>
          <w:rFonts w:asciiTheme="majorHAnsi" w:hAnsiTheme="majorHAnsi" w:cs="Times New Roman"/>
          <w:lang w:val="en-US"/>
        </w:rPr>
      </w:pPr>
      <w:r w:rsidRPr="008A6F10">
        <w:rPr>
          <w:rFonts w:asciiTheme="majorHAnsi" w:hAnsiTheme="majorHAnsi" w:cs="Times New Roman"/>
          <w:lang w:val="en-US"/>
        </w:rPr>
        <w:t>Although the National Strategy for the Promot</w:t>
      </w:r>
      <w:r w:rsidR="00DA50C6">
        <w:rPr>
          <w:rFonts w:asciiTheme="majorHAnsi" w:hAnsiTheme="majorHAnsi" w:cs="Times New Roman"/>
          <w:lang w:val="en-US"/>
        </w:rPr>
        <w:t xml:space="preserve">ion of Gender Equality </w:t>
      </w:r>
      <w:r w:rsidR="00B04890">
        <w:rPr>
          <w:rFonts w:asciiTheme="majorHAnsi" w:hAnsiTheme="majorHAnsi" w:cs="Times New Roman"/>
          <w:lang w:val="en-US"/>
        </w:rPr>
        <w:t xml:space="preserve">– Guidelines </w:t>
      </w:r>
      <w:r w:rsidR="00311C90">
        <w:rPr>
          <w:rFonts w:asciiTheme="majorHAnsi" w:hAnsiTheme="majorHAnsi" w:cs="Times New Roman"/>
          <w:lang w:val="en-US"/>
        </w:rPr>
        <w:t xml:space="preserve">and Objectives </w:t>
      </w:r>
      <w:r w:rsidR="00B04890">
        <w:rPr>
          <w:rFonts w:asciiTheme="majorHAnsi" w:hAnsiTheme="majorHAnsi" w:cs="Times New Roman"/>
          <w:lang w:val="en-US"/>
        </w:rPr>
        <w:t>2010</w:t>
      </w:r>
      <w:r w:rsidR="00B04890" w:rsidRPr="00B04890">
        <w:rPr>
          <w:rFonts w:asciiTheme="majorHAnsi" w:hAnsiTheme="majorHAnsi" w:cs="Times New Roman"/>
          <w:lang w:val="en-US"/>
        </w:rPr>
        <w:t>–</w:t>
      </w:r>
      <w:r w:rsidR="00311C90">
        <w:rPr>
          <w:rFonts w:asciiTheme="majorHAnsi" w:hAnsiTheme="majorHAnsi" w:cs="Times New Roman"/>
          <w:lang w:val="en-US"/>
        </w:rPr>
        <w:t>2021</w:t>
      </w:r>
      <w:r w:rsidRPr="008A6F10">
        <w:rPr>
          <w:rFonts w:asciiTheme="majorHAnsi" w:hAnsiTheme="majorHAnsi" w:cs="Times New Roman"/>
          <w:lang w:val="en-US"/>
        </w:rPr>
        <w:t xml:space="preserve"> is in force, after</w:t>
      </w:r>
      <w:r w:rsidR="00B04890">
        <w:rPr>
          <w:rFonts w:asciiTheme="majorHAnsi" w:hAnsiTheme="majorHAnsi" w:cs="Times New Roman"/>
          <w:lang w:val="en-US"/>
        </w:rPr>
        <w:t xml:space="preserve"> its first action plan for 2010</w:t>
      </w:r>
      <w:r w:rsidR="00B04890" w:rsidRPr="00B04890">
        <w:rPr>
          <w:rFonts w:asciiTheme="majorHAnsi" w:hAnsiTheme="majorHAnsi" w:cs="Times New Roman"/>
          <w:lang w:val="en-US"/>
        </w:rPr>
        <w:t>–</w:t>
      </w:r>
      <w:r w:rsidR="00B04890">
        <w:rPr>
          <w:rFonts w:asciiTheme="majorHAnsi" w:hAnsiTheme="majorHAnsi" w:cs="Times New Roman"/>
          <w:lang w:val="en-US"/>
        </w:rPr>
        <w:t xml:space="preserve">2011, no further plans </w:t>
      </w:r>
      <w:r w:rsidRPr="008A6F10">
        <w:rPr>
          <w:rFonts w:asciiTheme="majorHAnsi" w:hAnsiTheme="majorHAnsi" w:cs="Times New Roman"/>
          <w:lang w:val="en-US"/>
        </w:rPr>
        <w:t>have been elaborated. The go</w:t>
      </w:r>
      <w:r w:rsidR="00CD77BF">
        <w:rPr>
          <w:rFonts w:asciiTheme="majorHAnsi" w:hAnsiTheme="majorHAnsi" w:cs="Times New Roman"/>
          <w:lang w:val="en-US"/>
        </w:rPr>
        <w:t>vernment communicates since 2012</w:t>
      </w:r>
      <w:r w:rsidRPr="008A6F10">
        <w:rPr>
          <w:rFonts w:asciiTheme="majorHAnsi" w:hAnsiTheme="majorHAnsi" w:cs="Times New Roman"/>
          <w:lang w:val="en-US"/>
        </w:rPr>
        <w:t xml:space="preserve"> that Strategy will be replaced by a new one,</w:t>
      </w:r>
      <w:r w:rsidR="00B04890">
        <w:rPr>
          <w:rFonts w:asciiTheme="majorHAnsi" w:hAnsiTheme="majorHAnsi" w:cs="Times New Roman"/>
          <w:lang w:val="en-US"/>
        </w:rPr>
        <w:t xml:space="preserve"> but it has not been adopted</w:t>
      </w:r>
      <w:r w:rsidRPr="008A6F10">
        <w:rPr>
          <w:rFonts w:asciiTheme="majorHAnsi" w:hAnsiTheme="majorHAnsi" w:cs="Times New Roman"/>
          <w:lang w:val="en-US"/>
        </w:rPr>
        <w:t xml:space="preserve">, and women’s rights NGOs have not been consulted </w:t>
      </w:r>
      <w:r w:rsidR="00B04890">
        <w:rPr>
          <w:rFonts w:asciiTheme="majorHAnsi" w:hAnsiTheme="majorHAnsi" w:cs="Times New Roman"/>
          <w:lang w:val="en-US"/>
        </w:rPr>
        <w:t>yet regarding this issue</w:t>
      </w:r>
      <w:r w:rsidRPr="008A6F10">
        <w:rPr>
          <w:rFonts w:asciiTheme="majorHAnsi" w:hAnsiTheme="majorHAnsi" w:cs="Times New Roman"/>
          <w:lang w:val="en-US"/>
        </w:rPr>
        <w:t xml:space="preserve">. </w:t>
      </w:r>
    </w:p>
    <w:p w:rsidR="00B04890" w:rsidRDefault="00B04890" w:rsidP="001C1735">
      <w:pPr>
        <w:spacing w:after="0" w:line="240" w:lineRule="auto"/>
        <w:jc w:val="both"/>
        <w:rPr>
          <w:rFonts w:asciiTheme="majorHAnsi" w:hAnsiTheme="majorHAnsi" w:cs="Times New Roman"/>
          <w:lang w:val="en-US"/>
        </w:rPr>
      </w:pPr>
    </w:p>
    <w:p w:rsidR="00086C82" w:rsidRPr="008A6F10" w:rsidRDefault="00E44DA0" w:rsidP="001C1735">
      <w:pPr>
        <w:spacing w:after="0" w:line="240" w:lineRule="auto"/>
        <w:jc w:val="both"/>
        <w:rPr>
          <w:rFonts w:asciiTheme="majorHAnsi" w:hAnsiTheme="majorHAnsi" w:cs="Times New Roman"/>
          <w:lang w:val="en-US"/>
        </w:rPr>
      </w:pPr>
      <w:r w:rsidRPr="00E44DA0">
        <w:rPr>
          <w:rFonts w:asciiTheme="majorHAnsi" w:hAnsiTheme="majorHAnsi" w:cs="Times New Roman"/>
          <w:lang w:val="en-US"/>
        </w:rPr>
        <w:t xml:space="preserve">The government plans to use resources from the EU Structural Funds </w:t>
      </w:r>
      <w:r w:rsidR="00932C7F">
        <w:rPr>
          <w:rFonts w:asciiTheme="majorHAnsi" w:hAnsiTheme="majorHAnsi" w:cs="Times New Roman"/>
          <w:lang w:val="en-US"/>
        </w:rPr>
        <w:t>to</w:t>
      </w:r>
      <w:r w:rsidRPr="00E44DA0">
        <w:rPr>
          <w:rFonts w:asciiTheme="majorHAnsi" w:hAnsiTheme="majorHAnsi" w:cs="Times New Roman"/>
          <w:lang w:val="en-US"/>
        </w:rPr>
        <w:t xml:space="preserve"> </w:t>
      </w:r>
      <w:r w:rsidR="00B51515">
        <w:rPr>
          <w:rFonts w:asciiTheme="majorHAnsi" w:hAnsiTheme="majorHAnsi" w:cs="Times New Roman"/>
          <w:lang w:val="en-US"/>
        </w:rPr>
        <w:t>meet state obligation</w:t>
      </w:r>
      <w:r w:rsidR="000B1412">
        <w:rPr>
          <w:rFonts w:asciiTheme="majorHAnsi" w:hAnsiTheme="majorHAnsi" w:cs="Times New Roman"/>
          <w:lang w:val="en-US"/>
        </w:rPr>
        <w:t>s</w:t>
      </w:r>
      <w:r w:rsidR="00B51515">
        <w:rPr>
          <w:rFonts w:asciiTheme="majorHAnsi" w:hAnsiTheme="majorHAnsi" w:cs="Times New Roman"/>
          <w:lang w:val="en-US"/>
        </w:rPr>
        <w:t xml:space="preserve"> </w:t>
      </w:r>
      <w:r w:rsidR="000B1412">
        <w:rPr>
          <w:rFonts w:asciiTheme="majorHAnsi" w:hAnsiTheme="majorHAnsi" w:cs="Times New Roman"/>
          <w:lang w:val="en-US"/>
        </w:rPr>
        <w:t>i</w:t>
      </w:r>
      <w:r w:rsidR="00B51515">
        <w:rPr>
          <w:rFonts w:asciiTheme="majorHAnsi" w:hAnsiTheme="majorHAnsi" w:cs="Times New Roman"/>
          <w:lang w:val="en-US"/>
        </w:rPr>
        <w:t xml:space="preserve">n </w:t>
      </w:r>
      <w:r w:rsidR="00932C7F">
        <w:rPr>
          <w:rFonts w:asciiTheme="majorHAnsi" w:hAnsiTheme="majorHAnsi" w:cs="Times New Roman"/>
          <w:lang w:val="en-US"/>
        </w:rPr>
        <w:t>advan</w:t>
      </w:r>
      <w:r w:rsidR="00B51515">
        <w:rPr>
          <w:rFonts w:asciiTheme="majorHAnsi" w:hAnsiTheme="majorHAnsi" w:cs="Times New Roman"/>
          <w:lang w:val="en-US"/>
        </w:rPr>
        <w:t>cing</w:t>
      </w:r>
      <w:r w:rsidRPr="00E44DA0">
        <w:rPr>
          <w:rFonts w:asciiTheme="majorHAnsi" w:hAnsiTheme="majorHAnsi" w:cs="Times New Roman"/>
          <w:lang w:val="en-US"/>
        </w:rPr>
        <w:t xml:space="preserve"> women’s rights</w:t>
      </w:r>
      <w:r w:rsidR="00086C82" w:rsidRPr="008A6F10">
        <w:rPr>
          <w:rFonts w:asciiTheme="majorHAnsi" w:hAnsiTheme="majorHAnsi" w:cs="Times New Roman"/>
          <w:lang w:val="en-US"/>
        </w:rPr>
        <w:t xml:space="preserve">, </w:t>
      </w:r>
      <w:r w:rsidR="00C52695">
        <w:rPr>
          <w:rFonts w:asciiTheme="majorHAnsi" w:hAnsiTheme="majorHAnsi" w:cs="Times New Roman"/>
          <w:lang w:val="en-US"/>
        </w:rPr>
        <w:t xml:space="preserve">however, </w:t>
      </w:r>
      <w:r w:rsidR="00086C82" w:rsidRPr="008A6F10">
        <w:rPr>
          <w:rFonts w:asciiTheme="majorHAnsi" w:hAnsiTheme="majorHAnsi" w:cs="Times New Roman"/>
          <w:lang w:val="en-US"/>
        </w:rPr>
        <w:t xml:space="preserve">no information is available on how gender mainstreaming will be systematically applied and </w:t>
      </w:r>
      <w:r w:rsidR="00C52695" w:rsidRPr="00C52695">
        <w:rPr>
          <w:rFonts w:asciiTheme="majorHAnsi" w:hAnsiTheme="majorHAnsi" w:cs="Times New Roman"/>
          <w:lang w:val="en-GB"/>
        </w:rPr>
        <w:t>gender equality enforced</w:t>
      </w:r>
      <w:r>
        <w:rPr>
          <w:rFonts w:asciiTheme="majorHAnsi" w:hAnsiTheme="majorHAnsi" w:cs="Times New Roman"/>
          <w:lang w:val="en-GB"/>
        </w:rPr>
        <w:t xml:space="preserve"> </w:t>
      </w:r>
      <w:r w:rsidR="00155544">
        <w:rPr>
          <w:rFonts w:asciiTheme="majorHAnsi" w:hAnsiTheme="majorHAnsi" w:cs="Times New Roman"/>
          <w:lang w:val="en-US"/>
        </w:rPr>
        <w:t>in the system.</w:t>
      </w:r>
    </w:p>
    <w:p w:rsidR="00086C82" w:rsidRPr="008A6F10" w:rsidRDefault="00086C82" w:rsidP="001C1735">
      <w:pPr>
        <w:spacing w:after="0" w:line="240" w:lineRule="auto"/>
        <w:jc w:val="both"/>
        <w:rPr>
          <w:rFonts w:asciiTheme="majorHAnsi" w:hAnsiTheme="majorHAnsi" w:cs="Times New Roman"/>
          <w:lang w:val="en-US"/>
        </w:rPr>
      </w:pPr>
    </w:p>
    <w:p w:rsidR="00086C82" w:rsidRPr="008A6F10" w:rsidRDefault="00086C82" w:rsidP="001C1735">
      <w:pPr>
        <w:spacing w:after="0" w:line="240" w:lineRule="auto"/>
        <w:jc w:val="both"/>
        <w:rPr>
          <w:rFonts w:asciiTheme="majorHAnsi" w:hAnsiTheme="majorHAnsi" w:cs="Times New Roman"/>
          <w:bCs/>
          <w:lang w:val="en-US"/>
        </w:rPr>
      </w:pPr>
      <w:r w:rsidRPr="008A6F10">
        <w:rPr>
          <w:rFonts w:asciiTheme="majorHAnsi" w:hAnsiTheme="majorHAnsi" w:cs="Times New Roman"/>
          <w:lang w:val="en-US"/>
        </w:rPr>
        <w:t>The national machinery for gender equality has bee</w:t>
      </w:r>
      <w:r w:rsidR="001C679F">
        <w:rPr>
          <w:rFonts w:asciiTheme="majorHAnsi" w:hAnsiTheme="majorHAnsi" w:cs="Times New Roman"/>
          <w:lang w:val="en-US"/>
        </w:rPr>
        <w:t>n consistently underfunded and under</w:t>
      </w:r>
      <w:r w:rsidRPr="008A6F10">
        <w:rPr>
          <w:rFonts w:asciiTheme="majorHAnsi" w:hAnsiTheme="majorHAnsi" w:cs="Times New Roman"/>
          <w:lang w:val="en-US"/>
        </w:rPr>
        <w:t>staffed, together with its marginalized location in</w:t>
      </w:r>
      <w:r w:rsidR="003F64E4">
        <w:rPr>
          <w:rFonts w:asciiTheme="majorHAnsi" w:hAnsiTheme="majorHAnsi" w:cs="Times New Roman"/>
          <w:lang w:val="en-US"/>
        </w:rPr>
        <w:t xml:space="preserve"> the government structure. T</w:t>
      </w:r>
      <w:r w:rsidRPr="008A6F10">
        <w:rPr>
          <w:rFonts w:asciiTheme="majorHAnsi" w:hAnsiTheme="majorHAnsi" w:cs="Times New Roman"/>
          <w:lang w:val="en-US"/>
        </w:rPr>
        <w:t>he Women’s Policy Unit under the Department for Family Policy</w:t>
      </w:r>
      <w:r w:rsidR="003F64E4">
        <w:rPr>
          <w:rFonts w:asciiTheme="majorHAnsi" w:hAnsiTheme="majorHAnsi" w:cs="Times New Roman"/>
          <w:lang w:val="en-US"/>
        </w:rPr>
        <w:t xml:space="preserve"> and Demography</w:t>
      </w:r>
      <w:r w:rsidRPr="008A6F10">
        <w:rPr>
          <w:rFonts w:asciiTheme="majorHAnsi" w:hAnsiTheme="majorHAnsi" w:cs="Times New Roman"/>
          <w:lang w:val="en-US"/>
        </w:rPr>
        <w:t xml:space="preserve"> at the Ministry </w:t>
      </w:r>
      <w:r w:rsidR="00C52695">
        <w:rPr>
          <w:rFonts w:asciiTheme="majorHAnsi" w:hAnsiTheme="majorHAnsi" w:cs="Times New Roman"/>
          <w:lang w:val="en-US"/>
        </w:rPr>
        <w:t>of Human Capacities</w:t>
      </w:r>
      <w:r w:rsidR="003F64E4">
        <w:rPr>
          <w:rFonts w:asciiTheme="majorHAnsi" w:hAnsiTheme="majorHAnsi" w:cs="Times New Roman"/>
          <w:lang w:val="en-US"/>
        </w:rPr>
        <w:t xml:space="preserve"> has only three employees, and </w:t>
      </w:r>
      <w:r w:rsidRPr="008A6F10">
        <w:rPr>
          <w:rFonts w:asciiTheme="majorHAnsi" w:hAnsiTheme="majorHAnsi" w:cs="Times New Roman"/>
          <w:lang w:val="en-US"/>
        </w:rPr>
        <w:t>the location determines</w:t>
      </w:r>
      <w:r w:rsidR="00155544">
        <w:rPr>
          <w:rFonts w:asciiTheme="majorHAnsi" w:hAnsiTheme="majorHAnsi" w:cs="Times New Roman"/>
          <w:lang w:val="en-US"/>
        </w:rPr>
        <w:t xml:space="preserve"> its limited mandate.</w:t>
      </w:r>
    </w:p>
    <w:p w:rsidR="00086C82" w:rsidRPr="008A6F10" w:rsidRDefault="00086C82" w:rsidP="001C1735">
      <w:pPr>
        <w:spacing w:after="0" w:line="240" w:lineRule="auto"/>
        <w:jc w:val="both"/>
        <w:rPr>
          <w:rFonts w:asciiTheme="majorHAnsi" w:hAnsiTheme="majorHAnsi" w:cs="Times New Roman"/>
          <w:lang w:val="en-US"/>
        </w:rPr>
      </w:pPr>
    </w:p>
    <w:p w:rsidR="00086C82" w:rsidRPr="008A6F10" w:rsidRDefault="00086C82" w:rsidP="001C1735">
      <w:pPr>
        <w:spacing w:after="0" w:line="240" w:lineRule="auto"/>
        <w:jc w:val="both"/>
        <w:rPr>
          <w:rFonts w:asciiTheme="majorHAnsi" w:hAnsiTheme="majorHAnsi" w:cs="Times New Roman"/>
          <w:lang w:val="en-US"/>
        </w:rPr>
      </w:pPr>
      <w:r w:rsidRPr="008A6F10">
        <w:rPr>
          <w:rFonts w:asciiTheme="majorHAnsi" w:hAnsiTheme="majorHAnsi" w:cs="Times New Roman"/>
          <w:lang w:val="en-US"/>
        </w:rPr>
        <w:t xml:space="preserve">Professional and public awareness raising on gender equality is missing in general: the </w:t>
      </w:r>
      <w:r w:rsidR="001C679F">
        <w:rPr>
          <w:rFonts w:asciiTheme="majorHAnsi" w:hAnsiTheme="majorHAnsi" w:cs="Times New Roman"/>
          <w:lang w:val="en-US"/>
        </w:rPr>
        <w:t>lack of systematic training</w:t>
      </w:r>
      <w:r w:rsidRPr="008A6F10">
        <w:rPr>
          <w:rFonts w:asciiTheme="majorHAnsi" w:hAnsiTheme="majorHAnsi" w:cs="Times New Roman"/>
          <w:lang w:val="en-US"/>
        </w:rPr>
        <w:t xml:space="preserve">s for state officials and different professionals, </w:t>
      </w:r>
      <w:r w:rsidR="00C52695">
        <w:rPr>
          <w:rFonts w:asciiTheme="majorHAnsi" w:hAnsiTheme="majorHAnsi" w:cs="Times New Roman"/>
          <w:lang w:val="en-US"/>
        </w:rPr>
        <w:t xml:space="preserve">the lack of related guidelines </w:t>
      </w:r>
      <w:r w:rsidRPr="008A6F10">
        <w:rPr>
          <w:rFonts w:asciiTheme="majorHAnsi" w:hAnsiTheme="majorHAnsi" w:cs="Times New Roman"/>
          <w:lang w:val="en-US"/>
        </w:rPr>
        <w:t xml:space="preserve">and policies in the </w:t>
      </w:r>
      <w:r w:rsidR="00FB2623" w:rsidRPr="008A6F10">
        <w:rPr>
          <w:rFonts w:asciiTheme="majorHAnsi" w:hAnsiTheme="majorHAnsi" w:cs="Times New Roman"/>
          <w:lang w:val="en-US"/>
        </w:rPr>
        <w:t xml:space="preserve">public education system </w:t>
      </w:r>
      <w:r w:rsidR="00FB2623">
        <w:rPr>
          <w:rFonts w:asciiTheme="majorHAnsi" w:hAnsiTheme="majorHAnsi" w:cs="Times New Roman"/>
          <w:lang w:val="en-US"/>
        </w:rPr>
        <w:t xml:space="preserve">and media </w:t>
      </w:r>
      <w:r w:rsidRPr="008A6F10">
        <w:rPr>
          <w:rFonts w:asciiTheme="majorHAnsi" w:hAnsiTheme="majorHAnsi" w:cs="Times New Roman"/>
          <w:lang w:val="en-US"/>
        </w:rPr>
        <w:t xml:space="preserve">indicate that. </w:t>
      </w:r>
    </w:p>
    <w:p w:rsidR="00086C82" w:rsidRPr="008A6F10" w:rsidRDefault="00086C82" w:rsidP="001C1735">
      <w:pPr>
        <w:spacing w:after="0" w:line="240" w:lineRule="auto"/>
        <w:jc w:val="both"/>
        <w:rPr>
          <w:rFonts w:asciiTheme="majorHAnsi" w:hAnsiTheme="majorHAnsi" w:cs="Times New Roman"/>
          <w:lang w:val="en-US"/>
        </w:rPr>
      </w:pPr>
    </w:p>
    <w:p w:rsidR="00086C82" w:rsidRPr="008A6F10" w:rsidRDefault="00811DCA" w:rsidP="001C1735">
      <w:pPr>
        <w:spacing w:after="0" w:line="240" w:lineRule="auto"/>
        <w:jc w:val="both"/>
        <w:rPr>
          <w:rFonts w:asciiTheme="majorHAnsi" w:hAnsiTheme="majorHAnsi" w:cs="Times New Roman"/>
          <w:lang w:val="en-US"/>
        </w:rPr>
      </w:pPr>
      <w:r>
        <w:rPr>
          <w:rFonts w:asciiTheme="majorHAnsi" w:hAnsiTheme="majorHAnsi" w:cs="Times New Roman"/>
          <w:lang w:val="en-US"/>
        </w:rPr>
        <w:t xml:space="preserve">Hungary signed the </w:t>
      </w:r>
      <w:r w:rsidR="00086C82" w:rsidRPr="008A6F10">
        <w:rPr>
          <w:rFonts w:asciiTheme="majorHAnsi" w:hAnsiTheme="majorHAnsi" w:cs="Times New Roman"/>
          <w:lang w:val="en-US"/>
        </w:rPr>
        <w:t xml:space="preserve">Convention on preventing and combating violence against women and domestic violence </w:t>
      </w:r>
      <w:r>
        <w:rPr>
          <w:rFonts w:asciiTheme="majorHAnsi" w:hAnsiTheme="majorHAnsi" w:cs="Times New Roman"/>
          <w:lang w:val="en-US"/>
        </w:rPr>
        <w:t>(</w:t>
      </w:r>
      <w:r w:rsidRPr="00811DCA">
        <w:rPr>
          <w:rFonts w:asciiTheme="majorHAnsi" w:hAnsiTheme="majorHAnsi" w:cs="Times New Roman"/>
          <w:lang w:val="en-US"/>
        </w:rPr>
        <w:t>Istanbul Convention</w:t>
      </w:r>
      <w:r>
        <w:rPr>
          <w:rFonts w:asciiTheme="majorHAnsi" w:hAnsiTheme="majorHAnsi" w:cs="Times New Roman"/>
          <w:lang w:val="en-US"/>
        </w:rPr>
        <w:t>)</w:t>
      </w:r>
      <w:r w:rsidR="00E44DA0">
        <w:rPr>
          <w:rFonts w:asciiTheme="majorHAnsi" w:hAnsiTheme="majorHAnsi" w:cs="Times New Roman"/>
          <w:lang w:val="en-US"/>
        </w:rPr>
        <w:t xml:space="preserve"> </w:t>
      </w:r>
      <w:r w:rsidR="00086C82" w:rsidRPr="008A6F10">
        <w:rPr>
          <w:rFonts w:asciiTheme="majorHAnsi" w:hAnsiTheme="majorHAnsi" w:cs="Times New Roman"/>
          <w:lang w:val="en-US"/>
        </w:rPr>
        <w:t>in 2014, but has not ratified it. Despite some positive legislative measures in recent years, the comprehensive prevention, protection and prosecution approach is not reflected well in the state response. Improper application of existing legislation and regulations, the lack of systematic training</w:t>
      </w:r>
      <w:r w:rsidR="003F64E4">
        <w:rPr>
          <w:rFonts w:asciiTheme="majorHAnsi" w:hAnsiTheme="majorHAnsi" w:cs="Times New Roman"/>
          <w:lang w:val="en-US"/>
        </w:rPr>
        <w:t>s</w:t>
      </w:r>
      <w:r w:rsidR="00086C82" w:rsidRPr="008A6F10">
        <w:rPr>
          <w:rFonts w:asciiTheme="majorHAnsi" w:hAnsiTheme="majorHAnsi" w:cs="Times New Roman"/>
          <w:lang w:val="en-US"/>
        </w:rPr>
        <w:t xml:space="preserve"> and protocols for professionals often leading to inefficient and ineffective response, as well as limited availability of proper support services are considered by women’s rights NGOs as major obstacles for victi</w:t>
      </w:r>
      <w:r w:rsidR="00155544">
        <w:rPr>
          <w:rFonts w:asciiTheme="majorHAnsi" w:hAnsiTheme="majorHAnsi" w:cs="Times New Roman"/>
          <w:lang w:val="en-US"/>
        </w:rPr>
        <w:t>ms to access justice.</w:t>
      </w:r>
    </w:p>
    <w:p w:rsidR="00086C82" w:rsidRPr="008A6F10" w:rsidRDefault="00086C82" w:rsidP="001C1735">
      <w:pPr>
        <w:spacing w:after="0" w:line="240" w:lineRule="auto"/>
        <w:jc w:val="both"/>
        <w:rPr>
          <w:rFonts w:asciiTheme="majorHAnsi" w:hAnsiTheme="majorHAnsi" w:cs="Times New Roman"/>
          <w:lang w:val="en-US"/>
        </w:rPr>
      </w:pPr>
    </w:p>
    <w:p w:rsidR="00086C82" w:rsidRPr="008A6F10" w:rsidRDefault="00086C82" w:rsidP="001C1735">
      <w:pPr>
        <w:spacing w:after="0" w:line="240" w:lineRule="auto"/>
        <w:jc w:val="both"/>
        <w:rPr>
          <w:rFonts w:asciiTheme="majorHAnsi" w:hAnsiTheme="majorHAnsi" w:cs="Times New Roman"/>
          <w:lang w:val="en-US"/>
        </w:rPr>
      </w:pPr>
      <w:r w:rsidRPr="008A6F10">
        <w:rPr>
          <w:rFonts w:asciiTheme="majorHAnsi" w:hAnsiTheme="majorHAnsi" w:cs="Times New Roman"/>
          <w:lang w:val="en-US"/>
        </w:rPr>
        <w:t>There are no female ministers in the current government</w:t>
      </w:r>
      <w:r w:rsidR="00607D7F">
        <w:rPr>
          <w:rFonts w:asciiTheme="majorHAnsi" w:hAnsiTheme="majorHAnsi" w:cs="Times New Roman"/>
          <w:lang w:val="en-US"/>
        </w:rPr>
        <w:t xml:space="preserve">, while the proportion of female </w:t>
      </w:r>
      <w:r w:rsidR="00FB2623">
        <w:rPr>
          <w:rFonts w:asciiTheme="majorHAnsi" w:hAnsiTheme="majorHAnsi" w:cs="Times New Roman"/>
          <w:lang w:val="en-US"/>
        </w:rPr>
        <w:t>state secretaries</w:t>
      </w:r>
      <w:r w:rsidR="00607D7F">
        <w:rPr>
          <w:rFonts w:asciiTheme="majorHAnsi" w:hAnsiTheme="majorHAnsi" w:cs="Times New Roman"/>
          <w:lang w:val="en-US"/>
        </w:rPr>
        <w:t xml:space="preserve"> is only 12.96%</w:t>
      </w:r>
      <w:r w:rsidRPr="008A6F10">
        <w:rPr>
          <w:rFonts w:asciiTheme="majorHAnsi" w:hAnsiTheme="majorHAnsi" w:cs="Times New Roman"/>
          <w:lang w:val="en-US"/>
        </w:rPr>
        <w:t>. The constantly low representation of women in the Parliament did not improve after the 2014 election</w:t>
      </w:r>
      <w:r w:rsidR="00607D7F">
        <w:rPr>
          <w:rFonts w:asciiTheme="majorHAnsi" w:hAnsiTheme="majorHAnsi" w:cs="Times New Roman"/>
          <w:lang w:val="en-US"/>
        </w:rPr>
        <w:t>s</w:t>
      </w:r>
      <w:r w:rsidR="001C679F">
        <w:rPr>
          <w:rFonts w:asciiTheme="majorHAnsi" w:hAnsiTheme="majorHAnsi" w:cs="Times New Roman"/>
          <w:lang w:val="en-US"/>
        </w:rPr>
        <w:t>, currently being</w:t>
      </w:r>
      <w:r w:rsidRPr="008A6F10">
        <w:rPr>
          <w:rFonts w:asciiTheme="majorHAnsi" w:hAnsiTheme="majorHAnsi" w:cs="Times New Roman"/>
          <w:lang w:val="en-US"/>
        </w:rPr>
        <w:t xml:space="preserve"> 10.1%. No measures have been introduced </w:t>
      </w:r>
      <w:r w:rsidR="00607D7F">
        <w:rPr>
          <w:rFonts w:asciiTheme="majorHAnsi" w:hAnsiTheme="majorHAnsi" w:cs="Times New Roman"/>
          <w:lang w:val="en-US"/>
        </w:rPr>
        <w:t xml:space="preserve">by the state </w:t>
      </w:r>
      <w:r w:rsidRPr="008A6F10">
        <w:rPr>
          <w:rFonts w:asciiTheme="majorHAnsi" w:hAnsiTheme="majorHAnsi" w:cs="Times New Roman"/>
          <w:lang w:val="en-US"/>
        </w:rPr>
        <w:t xml:space="preserve">in the reporting period to </w:t>
      </w:r>
      <w:r w:rsidR="00155544">
        <w:rPr>
          <w:rFonts w:asciiTheme="majorHAnsi" w:hAnsiTheme="majorHAnsi" w:cs="Times New Roman"/>
          <w:lang w:val="en-US"/>
        </w:rPr>
        <w:t>remedy the situation.</w:t>
      </w:r>
    </w:p>
    <w:p w:rsidR="00086C82" w:rsidRPr="008A6F10" w:rsidRDefault="00086C82" w:rsidP="001C1735">
      <w:pPr>
        <w:spacing w:after="0" w:line="240" w:lineRule="auto"/>
        <w:jc w:val="both"/>
        <w:rPr>
          <w:rFonts w:asciiTheme="majorHAnsi" w:hAnsiTheme="majorHAnsi" w:cs="Times New Roman"/>
          <w:lang w:val="en-US"/>
        </w:rPr>
      </w:pPr>
    </w:p>
    <w:p w:rsidR="00086C82" w:rsidRPr="008A6F10" w:rsidRDefault="00086C82" w:rsidP="001C1735">
      <w:pPr>
        <w:spacing w:after="0" w:line="240" w:lineRule="auto"/>
        <w:jc w:val="both"/>
        <w:rPr>
          <w:rFonts w:asciiTheme="majorHAnsi" w:hAnsiTheme="majorHAnsi" w:cs="Times New Roman"/>
          <w:lang w:val="en-US"/>
        </w:rPr>
      </w:pPr>
      <w:r w:rsidRPr="008A6F10">
        <w:rPr>
          <w:rFonts w:asciiTheme="majorHAnsi" w:hAnsiTheme="majorHAnsi" w:cs="Times New Roman"/>
          <w:lang w:val="en-US"/>
        </w:rPr>
        <w:t>With the general lack of effective gender equality policies in place,</w:t>
      </w:r>
      <w:r w:rsidR="00AD5F72">
        <w:rPr>
          <w:rFonts w:asciiTheme="majorHAnsi" w:hAnsiTheme="majorHAnsi" w:cs="Times New Roman"/>
          <w:lang w:val="en-US"/>
        </w:rPr>
        <w:t xml:space="preserve"> intersectionality and multiple </w:t>
      </w:r>
      <w:r w:rsidRPr="008A6F10">
        <w:rPr>
          <w:rFonts w:asciiTheme="majorHAnsi" w:hAnsiTheme="majorHAnsi" w:cs="Times New Roman"/>
          <w:lang w:val="en-US"/>
        </w:rPr>
        <w:t>discrimination against women have not been given due attention</w:t>
      </w:r>
      <w:r w:rsidR="00155544">
        <w:rPr>
          <w:rFonts w:asciiTheme="majorHAnsi" w:hAnsiTheme="majorHAnsi" w:cs="Times New Roman"/>
          <w:lang w:val="en-US"/>
        </w:rPr>
        <w:t xml:space="preserve"> in related policies.</w:t>
      </w:r>
    </w:p>
    <w:p w:rsidR="00CC79F7" w:rsidRPr="008A6F10" w:rsidRDefault="00CC79F7" w:rsidP="001C1735">
      <w:pPr>
        <w:spacing w:after="0" w:line="240" w:lineRule="auto"/>
        <w:jc w:val="both"/>
        <w:rPr>
          <w:rFonts w:asciiTheme="majorHAnsi" w:hAnsiTheme="majorHAnsi" w:cs="Times New Roman"/>
          <w:lang w:val="en-US"/>
        </w:rPr>
      </w:pPr>
    </w:p>
    <w:p w:rsidR="00CC79F7" w:rsidRPr="008A6F10" w:rsidRDefault="00086C82" w:rsidP="00CC79F7">
      <w:pPr>
        <w:pStyle w:val="Listaszerbekezds"/>
        <w:numPr>
          <w:ilvl w:val="0"/>
          <w:numId w:val="21"/>
        </w:numPr>
        <w:ind w:left="709"/>
        <w:rPr>
          <w:rFonts w:asciiTheme="majorHAnsi" w:hAnsiTheme="majorHAnsi"/>
          <w:i/>
          <w:lang w:val="en-US" w:bidi="en-US"/>
        </w:rPr>
      </w:pPr>
      <w:r w:rsidRPr="008A6F10">
        <w:rPr>
          <w:rFonts w:asciiTheme="majorHAnsi" w:hAnsiTheme="majorHAnsi"/>
          <w:i/>
          <w:lang w:val="en-US"/>
        </w:rPr>
        <w:t>Put in place and duly implement a human rights based, comprehensive gender equality strategy</w:t>
      </w:r>
      <w:r w:rsidR="00C52695">
        <w:rPr>
          <w:rFonts w:asciiTheme="majorHAnsi" w:hAnsiTheme="majorHAnsi"/>
          <w:i/>
          <w:lang w:val="en-US"/>
        </w:rPr>
        <w:t xml:space="preserve"> equipped with deadlines, responsible actors, budget and monitoring mechanism</w:t>
      </w:r>
      <w:r w:rsidRPr="008A6F10">
        <w:rPr>
          <w:rFonts w:asciiTheme="majorHAnsi" w:hAnsiTheme="majorHAnsi"/>
          <w:i/>
          <w:lang w:val="en-US"/>
        </w:rPr>
        <w:t>;</w:t>
      </w:r>
    </w:p>
    <w:p w:rsidR="00CC79F7" w:rsidRPr="008A6F10" w:rsidRDefault="00E32258" w:rsidP="00CC79F7">
      <w:pPr>
        <w:pStyle w:val="Listaszerbekezds"/>
        <w:numPr>
          <w:ilvl w:val="0"/>
          <w:numId w:val="21"/>
        </w:numPr>
        <w:ind w:left="709"/>
        <w:rPr>
          <w:rFonts w:asciiTheme="majorHAnsi" w:hAnsiTheme="majorHAnsi"/>
          <w:i/>
          <w:lang w:val="en-US" w:bidi="en-US"/>
        </w:rPr>
      </w:pPr>
      <w:r>
        <w:rPr>
          <w:rFonts w:asciiTheme="majorHAnsi" w:hAnsiTheme="majorHAnsi"/>
          <w:i/>
          <w:lang w:val="en-US"/>
        </w:rPr>
        <w:t xml:space="preserve">By adopting </w:t>
      </w:r>
      <w:r w:rsidR="00086C82" w:rsidRPr="008A6F10">
        <w:rPr>
          <w:rFonts w:asciiTheme="majorHAnsi" w:hAnsiTheme="majorHAnsi"/>
          <w:i/>
          <w:lang w:val="en-US"/>
        </w:rPr>
        <w:t>implementation plans, duly fulfill the recommendations of international mechanisms addressed to Hungary (e.g. CEDAW,</w:t>
      </w:r>
      <w:r w:rsidR="00C52695">
        <w:rPr>
          <w:rFonts w:asciiTheme="majorHAnsi" w:hAnsiTheme="majorHAnsi"/>
          <w:i/>
          <w:lang w:val="en-US"/>
        </w:rPr>
        <w:t xml:space="preserve"> Council of Europe – GRETA</w:t>
      </w:r>
      <w:r w:rsidR="00086C82" w:rsidRPr="008A6F10">
        <w:rPr>
          <w:rFonts w:asciiTheme="majorHAnsi" w:hAnsiTheme="majorHAnsi"/>
          <w:i/>
          <w:lang w:val="en-US"/>
        </w:rPr>
        <w:t>);</w:t>
      </w:r>
    </w:p>
    <w:p w:rsidR="00CC79F7" w:rsidRPr="008A6F10" w:rsidRDefault="00086C82" w:rsidP="00CC79F7">
      <w:pPr>
        <w:pStyle w:val="Listaszerbekezds"/>
        <w:numPr>
          <w:ilvl w:val="0"/>
          <w:numId w:val="21"/>
        </w:numPr>
        <w:ind w:left="709"/>
        <w:rPr>
          <w:rFonts w:asciiTheme="majorHAnsi" w:hAnsiTheme="majorHAnsi"/>
          <w:i/>
          <w:lang w:val="en-US" w:bidi="en-US"/>
        </w:rPr>
      </w:pPr>
      <w:r w:rsidRPr="008A6F10">
        <w:rPr>
          <w:rFonts w:asciiTheme="majorHAnsi" w:hAnsiTheme="majorHAnsi"/>
          <w:i/>
          <w:lang w:val="en-US"/>
        </w:rPr>
        <w:t>Introduce a transparent mechanis</w:t>
      </w:r>
      <w:r w:rsidR="00E32258">
        <w:rPr>
          <w:rFonts w:asciiTheme="majorHAnsi" w:hAnsiTheme="majorHAnsi"/>
          <w:i/>
          <w:lang w:val="en-US"/>
        </w:rPr>
        <w:t xml:space="preserve">m for </w:t>
      </w:r>
      <w:r w:rsidR="00C52695">
        <w:rPr>
          <w:rFonts w:asciiTheme="majorHAnsi" w:hAnsiTheme="majorHAnsi"/>
          <w:i/>
          <w:lang w:val="en-US"/>
        </w:rPr>
        <w:t>systematic</w:t>
      </w:r>
      <w:r w:rsidR="00830AB2">
        <w:rPr>
          <w:rFonts w:asciiTheme="majorHAnsi" w:hAnsiTheme="majorHAnsi"/>
          <w:i/>
          <w:lang w:val="en-US"/>
        </w:rPr>
        <w:t xml:space="preserve"> </w:t>
      </w:r>
      <w:r w:rsidR="00C52695">
        <w:rPr>
          <w:rFonts w:asciiTheme="majorHAnsi" w:hAnsiTheme="majorHAnsi"/>
          <w:i/>
          <w:lang w:val="en-US"/>
        </w:rPr>
        <w:t xml:space="preserve">application </w:t>
      </w:r>
      <w:r w:rsidRPr="008A6F10">
        <w:rPr>
          <w:rFonts w:asciiTheme="majorHAnsi" w:hAnsiTheme="majorHAnsi"/>
          <w:i/>
          <w:lang w:val="en-US"/>
        </w:rPr>
        <w:t xml:space="preserve">of the gender equality principle </w:t>
      </w:r>
      <w:r w:rsidR="00C52695">
        <w:rPr>
          <w:rFonts w:asciiTheme="majorHAnsi" w:hAnsiTheme="majorHAnsi"/>
          <w:i/>
          <w:lang w:val="en-US"/>
        </w:rPr>
        <w:t xml:space="preserve">and gender mainstreaming </w:t>
      </w:r>
      <w:r w:rsidR="00AD5F72">
        <w:rPr>
          <w:rFonts w:asciiTheme="majorHAnsi" w:hAnsiTheme="majorHAnsi"/>
          <w:i/>
          <w:lang w:val="en-US"/>
        </w:rPr>
        <w:t xml:space="preserve">in </w:t>
      </w:r>
      <w:r w:rsidRPr="008A6F10">
        <w:rPr>
          <w:rFonts w:asciiTheme="majorHAnsi" w:hAnsiTheme="majorHAnsi"/>
          <w:i/>
          <w:lang w:val="en-US"/>
        </w:rPr>
        <w:t>dist</w:t>
      </w:r>
      <w:r w:rsidR="00CC79F7" w:rsidRPr="008A6F10">
        <w:rPr>
          <w:rFonts w:asciiTheme="majorHAnsi" w:hAnsiTheme="majorHAnsi"/>
          <w:i/>
          <w:lang w:val="en-US"/>
        </w:rPr>
        <w:t xml:space="preserve">ribution </w:t>
      </w:r>
      <w:r w:rsidR="00830AB2">
        <w:rPr>
          <w:rFonts w:asciiTheme="majorHAnsi" w:hAnsiTheme="majorHAnsi"/>
          <w:i/>
          <w:lang w:val="en-US"/>
        </w:rPr>
        <w:t>and utilizing</w:t>
      </w:r>
      <w:r w:rsidR="00C52695">
        <w:rPr>
          <w:rFonts w:asciiTheme="majorHAnsi" w:hAnsiTheme="majorHAnsi"/>
          <w:i/>
          <w:lang w:val="en-US"/>
        </w:rPr>
        <w:t xml:space="preserve"> </w:t>
      </w:r>
      <w:r w:rsidR="00CC79F7" w:rsidRPr="008A6F10">
        <w:rPr>
          <w:rFonts w:asciiTheme="majorHAnsi" w:hAnsiTheme="majorHAnsi"/>
          <w:i/>
          <w:lang w:val="en-US"/>
        </w:rPr>
        <w:t xml:space="preserve">of </w:t>
      </w:r>
      <w:r w:rsidR="00C52695">
        <w:rPr>
          <w:rFonts w:asciiTheme="majorHAnsi" w:hAnsiTheme="majorHAnsi"/>
          <w:i/>
          <w:lang w:val="en-US"/>
        </w:rPr>
        <w:t xml:space="preserve">resources from </w:t>
      </w:r>
      <w:r w:rsidR="00CC79F7" w:rsidRPr="008A6F10">
        <w:rPr>
          <w:rFonts w:asciiTheme="majorHAnsi" w:hAnsiTheme="majorHAnsi"/>
          <w:i/>
          <w:lang w:val="en-US"/>
        </w:rPr>
        <w:t>EU Structural Fund</w:t>
      </w:r>
      <w:r w:rsidR="00C52695">
        <w:rPr>
          <w:rFonts w:asciiTheme="majorHAnsi" w:hAnsiTheme="majorHAnsi"/>
          <w:i/>
          <w:lang w:val="en-US"/>
        </w:rPr>
        <w:t>s</w:t>
      </w:r>
      <w:r w:rsidR="00CC79F7" w:rsidRPr="008A6F10">
        <w:rPr>
          <w:rFonts w:asciiTheme="majorHAnsi" w:hAnsiTheme="majorHAnsi"/>
          <w:i/>
          <w:lang w:val="en-US"/>
        </w:rPr>
        <w:t>;</w:t>
      </w:r>
    </w:p>
    <w:p w:rsidR="00CC79F7" w:rsidRPr="008A6F10" w:rsidRDefault="00086C82" w:rsidP="00CC79F7">
      <w:pPr>
        <w:pStyle w:val="Listaszerbekezds"/>
        <w:numPr>
          <w:ilvl w:val="0"/>
          <w:numId w:val="21"/>
        </w:numPr>
        <w:ind w:left="709"/>
        <w:rPr>
          <w:rFonts w:asciiTheme="majorHAnsi" w:hAnsiTheme="majorHAnsi"/>
          <w:i/>
          <w:lang w:val="en-US" w:bidi="en-US"/>
        </w:rPr>
      </w:pPr>
      <w:r w:rsidRPr="008A6F10">
        <w:rPr>
          <w:rFonts w:asciiTheme="majorHAnsi" w:hAnsiTheme="majorHAnsi"/>
          <w:i/>
          <w:lang w:val="en-US"/>
        </w:rPr>
        <w:t xml:space="preserve">Introduce </w:t>
      </w:r>
      <w:r w:rsidR="00C23C43">
        <w:rPr>
          <w:rFonts w:asciiTheme="majorHAnsi" w:hAnsiTheme="majorHAnsi"/>
          <w:i/>
          <w:lang w:val="en-US"/>
        </w:rPr>
        <w:t>policies and awareness raising measures</w:t>
      </w:r>
      <w:r w:rsidR="00AD5F72">
        <w:rPr>
          <w:rFonts w:asciiTheme="majorHAnsi" w:hAnsiTheme="majorHAnsi"/>
          <w:i/>
          <w:lang w:val="en-US"/>
        </w:rPr>
        <w:t xml:space="preserve"> </w:t>
      </w:r>
      <w:r w:rsidR="00AD5F72" w:rsidRPr="00AD5F72">
        <w:rPr>
          <w:rFonts w:asciiTheme="majorHAnsi" w:hAnsiTheme="majorHAnsi"/>
          <w:i/>
          <w:lang w:val="en-US"/>
        </w:rPr>
        <w:t>–</w:t>
      </w:r>
      <w:r w:rsidR="00AD5F72">
        <w:rPr>
          <w:rFonts w:asciiTheme="majorHAnsi" w:hAnsiTheme="majorHAnsi"/>
          <w:i/>
          <w:lang w:val="en-US"/>
        </w:rPr>
        <w:t xml:space="preserve"> </w:t>
      </w:r>
      <w:r w:rsidR="00C23C43">
        <w:rPr>
          <w:rFonts w:asciiTheme="majorHAnsi" w:hAnsiTheme="majorHAnsi"/>
          <w:i/>
          <w:lang w:val="en-US"/>
        </w:rPr>
        <w:t xml:space="preserve">such as </w:t>
      </w:r>
      <w:r w:rsidRPr="008A6F10">
        <w:rPr>
          <w:rFonts w:asciiTheme="majorHAnsi" w:hAnsiTheme="majorHAnsi"/>
          <w:i/>
          <w:lang w:val="en-US"/>
        </w:rPr>
        <w:t>sys</w:t>
      </w:r>
      <w:r w:rsidR="00C23C43">
        <w:rPr>
          <w:rFonts w:asciiTheme="majorHAnsi" w:hAnsiTheme="majorHAnsi"/>
          <w:i/>
          <w:lang w:val="en-US"/>
        </w:rPr>
        <w:t>tematic trainings</w:t>
      </w:r>
      <w:r w:rsidR="00AD5F72">
        <w:rPr>
          <w:rFonts w:asciiTheme="majorHAnsi" w:hAnsiTheme="majorHAnsi"/>
          <w:i/>
          <w:lang w:val="en-US"/>
        </w:rPr>
        <w:t xml:space="preserve"> </w:t>
      </w:r>
      <w:r w:rsidR="00AD5F72" w:rsidRPr="00AD5F72">
        <w:rPr>
          <w:rFonts w:asciiTheme="majorHAnsi" w:hAnsiTheme="majorHAnsi"/>
          <w:i/>
          <w:lang w:val="en-US"/>
        </w:rPr>
        <w:t>–</w:t>
      </w:r>
      <w:r w:rsidR="00C23C43">
        <w:rPr>
          <w:rFonts w:asciiTheme="majorHAnsi" w:hAnsiTheme="majorHAnsi"/>
          <w:i/>
          <w:lang w:val="en-US"/>
        </w:rPr>
        <w:t xml:space="preserve"> </w:t>
      </w:r>
      <w:r w:rsidRPr="008A6F10">
        <w:rPr>
          <w:rFonts w:asciiTheme="majorHAnsi" w:hAnsiTheme="majorHAnsi"/>
          <w:i/>
          <w:lang w:val="en-US"/>
        </w:rPr>
        <w:t>on gender equality and e</w:t>
      </w:r>
      <w:r w:rsidR="00AD5F72">
        <w:rPr>
          <w:rFonts w:asciiTheme="majorHAnsi" w:hAnsiTheme="majorHAnsi"/>
          <w:i/>
          <w:lang w:val="en-US"/>
        </w:rPr>
        <w:t>limination of stereotypes, targeting e</w:t>
      </w:r>
      <w:r w:rsidRPr="008A6F10">
        <w:rPr>
          <w:rFonts w:asciiTheme="majorHAnsi" w:hAnsiTheme="majorHAnsi"/>
          <w:i/>
          <w:lang w:val="en-US"/>
        </w:rPr>
        <w:t>special</w:t>
      </w:r>
      <w:r w:rsidR="00AD5F72">
        <w:rPr>
          <w:rFonts w:asciiTheme="majorHAnsi" w:hAnsiTheme="majorHAnsi"/>
          <w:i/>
          <w:lang w:val="en-US"/>
        </w:rPr>
        <w:t xml:space="preserve">ly </w:t>
      </w:r>
      <w:r w:rsidRPr="008A6F10">
        <w:rPr>
          <w:rFonts w:asciiTheme="majorHAnsi" w:hAnsiTheme="majorHAnsi"/>
          <w:i/>
          <w:lang w:val="en-US"/>
        </w:rPr>
        <w:t xml:space="preserve">the education system, </w:t>
      </w:r>
      <w:r w:rsidR="00CC79F7" w:rsidRPr="008A6F10">
        <w:rPr>
          <w:rFonts w:asciiTheme="majorHAnsi" w:hAnsiTheme="majorHAnsi"/>
          <w:i/>
          <w:lang w:val="en-US"/>
        </w:rPr>
        <w:t xml:space="preserve">the media and state officials; </w:t>
      </w:r>
    </w:p>
    <w:p w:rsidR="00CC79F7" w:rsidRPr="008A6F10" w:rsidRDefault="00086C82" w:rsidP="00CC79F7">
      <w:pPr>
        <w:pStyle w:val="Listaszerbekezds"/>
        <w:numPr>
          <w:ilvl w:val="0"/>
          <w:numId w:val="21"/>
        </w:numPr>
        <w:ind w:left="709"/>
        <w:rPr>
          <w:rFonts w:asciiTheme="majorHAnsi" w:hAnsiTheme="majorHAnsi"/>
          <w:i/>
          <w:lang w:val="en-US" w:bidi="en-US"/>
        </w:rPr>
      </w:pPr>
      <w:r w:rsidRPr="008A6F10">
        <w:rPr>
          <w:rFonts w:asciiTheme="majorHAnsi" w:hAnsiTheme="majorHAnsi"/>
          <w:i/>
          <w:lang w:val="en-US"/>
        </w:rPr>
        <w:lastRenderedPageBreak/>
        <w:t xml:space="preserve">Introduce effective </w:t>
      </w:r>
      <w:r w:rsidR="00CD77BF">
        <w:rPr>
          <w:rFonts w:asciiTheme="majorHAnsi" w:hAnsiTheme="majorHAnsi"/>
          <w:i/>
          <w:lang w:val="en-US"/>
        </w:rPr>
        <w:t xml:space="preserve">legislative </w:t>
      </w:r>
      <w:r w:rsidRPr="008A6F10">
        <w:rPr>
          <w:rFonts w:asciiTheme="majorHAnsi" w:hAnsiTheme="majorHAnsi"/>
          <w:i/>
          <w:lang w:val="en-US"/>
        </w:rPr>
        <w:t>measures – e.g. quotas – to increase women’s pa</w:t>
      </w:r>
      <w:r w:rsidR="00CC79F7" w:rsidRPr="008A6F10">
        <w:rPr>
          <w:rFonts w:asciiTheme="majorHAnsi" w:hAnsiTheme="majorHAnsi"/>
          <w:i/>
          <w:lang w:val="en-US"/>
        </w:rPr>
        <w:t>rticipation in political life</w:t>
      </w:r>
      <w:r w:rsidR="00607D7F">
        <w:rPr>
          <w:rFonts w:asciiTheme="majorHAnsi" w:hAnsiTheme="majorHAnsi"/>
          <w:i/>
          <w:lang w:val="en-US"/>
        </w:rPr>
        <w:t xml:space="preserve"> and decision-making</w:t>
      </w:r>
      <w:r w:rsidR="00CC79F7" w:rsidRPr="008A6F10">
        <w:rPr>
          <w:rFonts w:asciiTheme="majorHAnsi" w:hAnsiTheme="majorHAnsi"/>
          <w:i/>
          <w:lang w:val="en-US"/>
        </w:rPr>
        <w:t>;</w:t>
      </w:r>
    </w:p>
    <w:p w:rsidR="00086C82" w:rsidRPr="008A6F10" w:rsidRDefault="00086C82" w:rsidP="00CC79F7">
      <w:pPr>
        <w:pStyle w:val="Listaszerbekezds"/>
        <w:numPr>
          <w:ilvl w:val="0"/>
          <w:numId w:val="21"/>
        </w:numPr>
        <w:ind w:left="709"/>
        <w:rPr>
          <w:rFonts w:asciiTheme="majorHAnsi" w:hAnsiTheme="majorHAnsi"/>
          <w:i/>
          <w:lang w:val="en-US" w:bidi="en-US"/>
        </w:rPr>
      </w:pPr>
      <w:r w:rsidRPr="008A6F10">
        <w:rPr>
          <w:rFonts w:asciiTheme="majorHAnsi" w:hAnsiTheme="majorHAnsi"/>
          <w:i/>
          <w:lang w:val="en-US"/>
        </w:rPr>
        <w:t xml:space="preserve">Ratify the Istanbul Convention without delay, and implement it in cooperation with women’s </w:t>
      </w:r>
      <w:r w:rsidR="00C52695">
        <w:rPr>
          <w:rFonts w:asciiTheme="majorHAnsi" w:hAnsiTheme="majorHAnsi"/>
          <w:i/>
          <w:lang w:val="en-US"/>
        </w:rPr>
        <w:t xml:space="preserve">rights </w:t>
      </w:r>
      <w:r w:rsidRPr="008A6F10">
        <w:rPr>
          <w:rFonts w:asciiTheme="majorHAnsi" w:hAnsiTheme="majorHAnsi"/>
          <w:i/>
          <w:lang w:val="en-US"/>
        </w:rPr>
        <w:t>NGOs active in the field.</w:t>
      </w:r>
    </w:p>
    <w:p w:rsidR="003A21EF" w:rsidRPr="008A6F10" w:rsidRDefault="003A21EF" w:rsidP="001C1735">
      <w:pPr>
        <w:spacing w:after="0" w:line="240" w:lineRule="auto"/>
        <w:jc w:val="both"/>
        <w:rPr>
          <w:rFonts w:asciiTheme="majorHAnsi" w:eastAsia="Calibri" w:hAnsiTheme="majorHAnsi" w:cs="Times New Roman"/>
          <w:b/>
          <w:lang w:val="en-US"/>
        </w:rPr>
      </w:pPr>
    </w:p>
    <w:p w:rsidR="008A6F10" w:rsidRPr="008A6F10" w:rsidRDefault="008A6F10" w:rsidP="008A6F10">
      <w:pPr>
        <w:pStyle w:val="Cmsor1"/>
        <w:rPr>
          <w:rFonts w:asciiTheme="majorHAnsi" w:hAnsiTheme="majorHAnsi"/>
          <w:lang w:val="en-US"/>
        </w:rPr>
      </w:pPr>
      <w:r w:rsidRPr="008A6F10">
        <w:rPr>
          <w:rFonts w:asciiTheme="majorHAnsi" w:hAnsiTheme="majorHAnsi"/>
          <w:lang w:val="en-US"/>
        </w:rPr>
        <w:t>Children’s rights</w:t>
      </w:r>
    </w:p>
    <w:p w:rsidR="008A6F10" w:rsidRPr="008A6F10" w:rsidRDefault="00C23C43" w:rsidP="008A6F10">
      <w:pPr>
        <w:jc w:val="both"/>
        <w:rPr>
          <w:rFonts w:asciiTheme="majorHAnsi" w:hAnsiTheme="majorHAnsi"/>
          <w:lang w:val="en-US"/>
        </w:rPr>
      </w:pPr>
      <w:r>
        <w:rPr>
          <w:rFonts w:asciiTheme="majorHAnsi" w:hAnsiTheme="majorHAnsi"/>
          <w:lang w:val="en-US"/>
        </w:rPr>
        <w:t xml:space="preserve">The lack of </w:t>
      </w:r>
      <w:r w:rsidR="008A6F10" w:rsidRPr="008A6F10">
        <w:rPr>
          <w:rFonts w:asciiTheme="majorHAnsi" w:hAnsiTheme="majorHAnsi"/>
          <w:lang w:val="en-US"/>
        </w:rPr>
        <w:t>a comprehensive policy covering all areas of children’s ri</w:t>
      </w:r>
      <w:r>
        <w:rPr>
          <w:rFonts w:asciiTheme="majorHAnsi" w:hAnsiTheme="majorHAnsi"/>
          <w:lang w:val="en-US"/>
        </w:rPr>
        <w:t xml:space="preserve">ghts under the UN CRC is an overarching problem, being </w:t>
      </w:r>
      <w:r w:rsidR="008A6F10" w:rsidRPr="008A6F10">
        <w:rPr>
          <w:rFonts w:asciiTheme="majorHAnsi" w:hAnsiTheme="majorHAnsi"/>
          <w:lang w:val="en-US"/>
        </w:rPr>
        <w:t>repeatedly criticized by various U</w:t>
      </w:r>
      <w:r>
        <w:rPr>
          <w:rFonts w:asciiTheme="majorHAnsi" w:hAnsiTheme="majorHAnsi"/>
          <w:lang w:val="en-US"/>
        </w:rPr>
        <w:t>N treaty-bodies and also NGOs. M</w:t>
      </w:r>
      <w:r w:rsidR="008A6F10" w:rsidRPr="008A6F10">
        <w:rPr>
          <w:rFonts w:asciiTheme="majorHAnsi" w:hAnsiTheme="majorHAnsi"/>
          <w:lang w:val="en-US"/>
        </w:rPr>
        <w:t>oreover</w:t>
      </w:r>
      <w:r>
        <w:rPr>
          <w:rFonts w:asciiTheme="majorHAnsi" w:hAnsiTheme="majorHAnsi"/>
          <w:lang w:val="en-US"/>
        </w:rPr>
        <w:t>,</w:t>
      </w:r>
      <w:r w:rsidR="00285C04">
        <w:rPr>
          <w:rFonts w:asciiTheme="majorHAnsi" w:hAnsiTheme="majorHAnsi"/>
          <w:lang w:val="en-US"/>
        </w:rPr>
        <w:t xml:space="preserve"> there are</w:t>
      </w:r>
      <w:r w:rsidR="008A6F10" w:rsidRPr="008A6F10">
        <w:rPr>
          <w:rFonts w:asciiTheme="majorHAnsi" w:hAnsiTheme="majorHAnsi"/>
          <w:lang w:val="en-US"/>
        </w:rPr>
        <w:t xml:space="preserve"> no effective </w:t>
      </w:r>
      <w:r w:rsidRPr="008A6F10">
        <w:rPr>
          <w:rFonts w:asciiTheme="majorHAnsi" w:hAnsiTheme="majorHAnsi"/>
          <w:lang w:val="en-US"/>
        </w:rPr>
        <w:t xml:space="preserve">monitoring and evaluation </w:t>
      </w:r>
      <w:r>
        <w:rPr>
          <w:rFonts w:asciiTheme="majorHAnsi" w:hAnsiTheme="majorHAnsi"/>
          <w:lang w:val="en-US"/>
        </w:rPr>
        <w:t xml:space="preserve">systems in place. </w:t>
      </w:r>
      <w:r w:rsidR="008A6F10" w:rsidRPr="008A6F10">
        <w:rPr>
          <w:rFonts w:asciiTheme="majorHAnsi" w:hAnsiTheme="majorHAnsi"/>
          <w:lang w:val="en-US"/>
        </w:rPr>
        <w:t>Raising the awareness of all professionals working for and with children, children themselves, parents, and the public at large, about the provisions of the CRC and its optional protocols, with a view to ensuring that such efforts result in a positive shift in the attitudes of those involved, is still missing.</w:t>
      </w:r>
    </w:p>
    <w:p w:rsidR="008A6F10" w:rsidRPr="00FB2623" w:rsidRDefault="008A6F10" w:rsidP="008A6F10">
      <w:pPr>
        <w:jc w:val="both"/>
        <w:rPr>
          <w:rFonts w:asciiTheme="majorHAnsi" w:hAnsiTheme="majorHAnsi"/>
          <w:lang w:val="en-US"/>
        </w:rPr>
      </w:pPr>
      <w:r w:rsidRPr="008A6F10">
        <w:rPr>
          <w:rFonts w:asciiTheme="majorHAnsi" w:hAnsiTheme="majorHAnsi"/>
          <w:lang w:val="en-US"/>
        </w:rPr>
        <w:t>Human rights (and children’s rights) education is not integrated into the Hungarian primary and secondary education system because education through human rights is not a principle, education about human rights is not comprehensive at all</w:t>
      </w:r>
      <w:r w:rsidR="005D3C76">
        <w:rPr>
          <w:rFonts w:asciiTheme="majorHAnsi" w:hAnsiTheme="majorHAnsi"/>
          <w:lang w:val="en-US"/>
        </w:rPr>
        <w:t>,</w:t>
      </w:r>
      <w:r w:rsidRPr="008A6F10">
        <w:rPr>
          <w:rFonts w:asciiTheme="majorHAnsi" w:hAnsiTheme="majorHAnsi"/>
          <w:lang w:val="en-US"/>
        </w:rPr>
        <w:t xml:space="preserve"> and</w:t>
      </w:r>
      <w:r w:rsidR="00C23C43">
        <w:rPr>
          <w:rFonts w:asciiTheme="majorHAnsi" w:hAnsiTheme="majorHAnsi"/>
          <w:lang w:val="en-US"/>
        </w:rPr>
        <w:t xml:space="preserve"> consequently </w:t>
      </w:r>
      <w:r w:rsidRPr="008A6F10">
        <w:rPr>
          <w:rFonts w:asciiTheme="majorHAnsi" w:hAnsiTheme="majorHAnsi"/>
          <w:lang w:val="en-US"/>
        </w:rPr>
        <w:t>education for human rights is not achievable.</w:t>
      </w:r>
    </w:p>
    <w:p w:rsidR="008A6F10" w:rsidRPr="008A6F10" w:rsidRDefault="008A6F10" w:rsidP="008A6F10">
      <w:pPr>
        <w:pStyle w:val="Listaszerbekezds"/>
        <w:numPr>
          <w:ilvl w:val="0"/>
          <w:numId w:val="37"/>
        </w:numPr>
        <w:rPr>
          <w:rFonts w:asciiTheme="majorHAnsi" w:hAnsiTheme="majorHAnsi"/>
          <w:i/>
          <w:lang w:val="en-US"/>
        </w:rPr>
      </w:pPr>
      <w:r w:rsidRPr="008A6F10">
        <w:rPr>
          <w:rFonts w:asciiTheme="majorHAnsi" w:hAnsiTheme="majorHAnsi"/>
          <w:i/>
          <w:lang w:val="en-US"/>
        </w:rPr>
        <w:t>Develop a comprehensive children’s rights policy and action plan, which includes also monitoring and evaluation;</w:t>
      </w:r>
    </w:p>
    <w:p w:rsidR="008A6F10" w:rsidRPr="008A6F10" w:rsidRDefault="008A6F10" w:rsidP="008A6F10">
      <w:pPr>
        <w:pStyle w:val="Listaszerbekezds"/>
        <w:numPr>
          <w:ilvl w:val="0"/>
          <w:numId w:val="37"/>
        </w:numPr>
        <w:rPr>
          <w:rFonts w:asciiTheme="majorHAnsi" w:hAnsiTheme="majorHAnsi"/>
          <w:i/>
          <w:lang w:val="en-US"/>
        </w:rPr>
      </w:pPr>
      <w:r w:rsidRPr="008A6F10">
        <w:rPr>
          <w:rFonts w:asciiTheme="majorHAnsi" w:hAnsiTheme="majorHAnsi"/>
          <w:i/>
          <w:lang w:val="en-US"/>
        </w:rPr>
        <w:t>Include human rights (especially children’s rights) in the public education system, ensure proper training for professional</w:t>
      </w:r>
      <w:r w:rsidR="00FB2623">
        <w:rPr>
          <w:rFonts w:asciiTheme="majorHAnsi" w:hAnsiTheme="majorHAnsi"/>
          <w:i/>
          <w:lang w:val="en-US"/>
        </w:rPr>
        <w:t>s who are dealing with children.</w:t>
      </w:r>
    </w:p>
    <w:p w:rsidR="008A6F10" w:rsidRPr="008A6F10" w:rsidRDefault="008A6F10" w:rsidP="008A6F10">
      <w:pPr>
        <w:pStyle w:val="Listaszerbekezds"/>
        <w:rPr>
          <w:rFonts w:asciiTheme="majorHAnsi" w:hAnsiTheme="majorHAnsi"/>
          <w:i/>
          <w:sz w:val="24"/>
          <w:szCs w:val="24"/>
          <w:lang w:val="en-US"/>
        </w:rPr>
      </w:pPr>
    </w:p>
    <w:p w:rsidR="008A6F10" w:rsidRPr="008A6F10" w:rsidRDefault="008A6F10" w:rsidP="008A6F10">
      <w:pPr>
        <w:jc w:val="both"/>
        <w:rPr>
          <w:rFonts w:asciiTheme="majorHAnsi" w:hAnsiTheme="majorHAnsi"/>
          <w:b/>
          <w:sz w:val="24"/>
          <w:szCs w:val="24"/>
          <w:lang w:val="en-US"/>
        </w:rPr>
      </w:pPr>
      <w:r w:rsidRPr="008A6F10">
        <w:rPr>
          <w:rFonts w:asciiTheme="majorHAnsi" w:hAnsiTheme="majorHAnsi"/>
          <w:b/>
          <w:sz w:val="24"/>
          <w:szCs w:val="24"/>
          <w:lang w:val="en-US"/>
        </w:rPr>
        <w:t>Education – school segregation of Roma children &amp; reduction of the compulsory school age</w:t>
      </w:r>
    </w:p>
    <w:p w:rsidR="008A6F10" w:rsidRPr="008A6F10" w:rsidRDefault="008A6F10" w:rsidP="008A6F10">
      <w:pPr>
        <w:jc w:val="both"/>
        <w:rPr>
          <w:rFonts w:asciiTheme="majorHAnsi" w:hAnsiTheme="majorHAnsi"/>
          <w:lang w:val="en-US"/>
        </w:rPr>
      </w:pPr>
      <w:r w:rsidRPr="008A6F10">
        <w:rPr>
          <w:rFonts w:asciiTheme="majorHAnsi" w:hAnsiTheme="majorHAnsi"/>
          <w:lang w:val="en-US"/>
        </w:rPr>
        <w:t>School segregation of Roma children is increasing in Hungary. Approximately 45% of Roma children atten</w:t>
      </w:r>
      <w:r w:rsidR="0085266A">
        <w:rPr>
          <w:rFonts w:asciiTheme="majorHAnsi" w:hAnsiTheme="majorHAnsi"/>
          <w:lang w:val="en-US"/>
        </w:rPr>
        <w:t xml:space="preserve">d schools or classes </w:t>
      </w:r>
      <w:r w:rsidRPr="008A6F10">
        <w:rPr>
          <w:rFonts w:asciiTheme="majorHAnsi" w:hAnsiTheme="majorHAnsi"/>
          <w:lang w:val="en-US"/>
        </w:rPr>
        <w:t>where all or the majority of their classmates are also Roma.</w:t>
      </w:r>
      <w:r w:rsidRPr="008A6F10">
        <w:rPr>
          <w:rStyle w:val="Lbjegyzet-hivatkozs"/>
          <w:rFonts w:asciiTheme="majorHAnsi" w:hAnsiTheme="majorHAnsi"/>
          <w:lang w:val="en-US"/>
        </w:rPr>
        <w:footnoteReference w:id="33"/>
      </w:r>
      <w:r w:rsidR="00285C04">
        <w:rPr>
          <w:rFonts w:asciiTheme="majorHAnsi" w:hAnsiTheme="majorHAnsi"/>
          <w:lang w:val="en-US"/>
        </w:rPr>
        <w:t xml:space="preserve"> </w:t>
      </w:r>
      <w:r w:rsidRPr="008A6F10">
        <w:rPr>
          <w:rFonts w:asciiTheme="majorHAnsi" w:hAnsiTheme="majorHAnsi"/>
          <w:lang w:val="en-US"/>
        </w:rPr>
        <w:t>In 2014 381 primary and secondary schools have been officially reported to have 50% or more Roma among their students.</w:t>
      </w:r>
      <w:r w:rsidRPr="008A6F10">
        <w:rPr>
          <w:rStyle w:val="Lbjegyzet-hivatkozs"/>
          <w:rFonts w:asciiTheme="majorHAnsi" w:hAnsiTheme="majorHAnsi"/>
          <w:lang w:val="en-US"/>
        </w:rPr>
        <w:footnoteReference w:id="34"/>
      </w:r>
      <w:r w:rsidRPr="008A6F10">
        <w:rPr>
          <w:rFonts w:asciiTheme="majorHAnsi" w:hAnsiTheme="majorHAnsi"/>
          <w:lang w:val="en-US"/>
        </w:rPr>
        <w:t xml:space="preserve"> Despite protests of NGOs and professionals,</w:t>
      </w:r>
      <w:r w:rsidRPr="008A6F10">
        <w:rPr>
          <w:rStyle w:val="Lbjegyzet-hivatkozs"/>
          <w:rFonts w:asciiTheme="majorHAnsi" w:hAnsiTheme="majorHAnsi"/>
          <w:lang w:val="en-US"/>
        </w:rPr>
        <w:footnoteReference w:id="35"/>
      </w:r>
      <w:r w:rsidR="00285C04">
        <w:rPr>
          <w:rFonts w:asciiTheme="majorHAnsi" w:hAnsiTheme="majorHAnsi"/>
          <w:lang w:val="en-US"/>
        </w:rPr>
        <w:t xml:space="preserve"> </w:t>
      </w:r>
      <w:r w:rsidR="005D3C76" w:rsidRPr="008A6F10">
        <w:rPr>
          <w:rFonts w:asciiTheme="majorHAnsi" w:hAnsiTheme="majorHAnsi"/>
          <w:lang w:val="en-US"/>
        </w:rPr>
        <w:t xml:space="preserve">the Parliament </w:t>
      </w:r>
      <w:r w:rsidR="005D3C76">
        <w:rPr>
          <w:rFonts w:asciiTheme="majorHAnsi" w:hAnsiTheme="majorHAnsi"/>
          <w:lang w:val="en-US"/>
        </w:rPr>
        <w:t xml:space="preserve">adopted </w:t>
      </w:r>
      <w:r w:rsidRPr="008A6F10">
        <w:rPr>
          <w:rFonts w:asciiTheme="majorHAnsi" w:hAnsiTheme="majorHAnsi"/>
          <w:lang w:val="en-US"/>
        </w:rPr>
        <w:t>a modification of the Pub</w:t>
      </w:r>
      <w:r w:rsidR="005D3C76">
        <w:rPr>
          <w:rFonts w:asciiTheme="majorHAnsi" w:hAnsiTheme="majorHAnsi"/>
          <w:lang w:val="en-US"/>
        </w:rPr>
        <w:t xml:space="preserve">lic Education Act </w:t>
      </w:r>
      <w:r w:rsidRPr="008A6F10">
        <w:rPr>
          <w:rFonts w:asciiTheme="majorHAnsi" w:hAnsiTheme="majorHAnsi"/>
          <w:lang w:val="en-US"/>
        </w:rPr>
        <w:t xml:space="preserve">in December 2014 that authorized the government to determine (in a decree) the waivers which could be applied to permit segregated education. </w:t>
      </w:r>
      <w:r w:rsidR="00966C4E" w:rsidRPr="00966C4E">
        <w:rPr>
          <w:rFonts w:asciiTheme="majorHAnsi" w:hAnsiTheme="majorHAnsi"/>
          <w:lang w:val="en-US"/>
        </w:rPr>
        <w:t>Testing procedures in use to assess the mental ab</w:t>
      </w:r>
      <w:r w:rsidR="00966C4E">
        <w:rPr>
          <w:rFonts w:asciiTheme="majorHAnsi" w:hAnsiTheme="majorHAnsi"/>
          <w:lang w:val="en-US"/>
        </w:rPr>
        <w:t xml:space="preserve">ility of children (rather than </w:t>
      </w:r>
      <w:r w:rsidR="00966C4E" w:rsidRPr="00966C4E">
        <w:rPr>
          <w:rFonts w:asciiTheme="majorHAnsi" w:hAnsiTheme="majorHAnsi"/>
          <w:lang w:val="en-US"/>
        </w:rPr>
        <w:t>assessing whether a child has any special needs) are contributing to segregation as culturally biased testing results in misdiagnosis of Roma chil</w:t>
      </w:r>
      <w:r w:rsidR="00966C4E">
        <w:rPr>
          <w:rFonts w:asciiTheme="majorHAnsi" w:hAnsiTheme="majorHAnsi"/>
          <w:lang w:val="en-US"/>
        </w:rPr>
        <w:t>dren.</w:t>
      </w:r>
      <w:r w:rsidRPr="008A6F10">
        <w:rPr>
          <w:rStyle w:val="Lbjegyzet-hivatkozs"/>
          <w:rFonts w:asciiTheme="majorHAnsi" w:hAnsiTheme="majorHAnsi"/>
          <w:lang w:val="en-US"/>
        </w:rPr>
        <w:footnoteReference w:id="36"/>
      </w:r>
      <w:r w:rsidRPr="008A6F10">
        <w:rPr>
          <w:rFonts w:asciiTheme="majorHAnsi" w:hAnsiTheme="majorHAnsi"/>
          <w:lang w:val="en-US"/>
        </w:rPr>
        <w:t xml:space="preserve"> This has been affirmed in 2013 by the Europea</w:t>
      </w:r>
      <w:r w:rsidR="0085266A">
        <w:rPr>
          <w:rFonts w:asciiTheme="majorHAnsi" w:hAnsiTheme="majorHAnsi"/>
          <w:lang w:val="en-US"/>
        </w:rPr>
        <w:t xml:space="preserve">n Court of Human Rights </w:t>
      </w:r>
      <w:r w:rsidRPr="008A6F10">
        <w:rPr>
          <w:rFonts w:asciiTheme="majorHAnsi" w:hAnsiTheme="majorHAnsi"/>
          <w:lang w:val="en-US"/>
        </w:rPr>
        <w:t xml:space="preserve">in the </w:t>
      </w:r>
      <w:proofErr w:type="spellStart"/>
      <w:r w:rsidRPr="008A6F10">
        <w:rPr>
          <w:rFonts w:asciiTheme="majorHAnsi" w:hAnsiTheme="majorHAnsi"/>
          <w:lang w:val="en-US"/>
        </w:rPr>
        <w:t>Horváth</w:t>
      </w:r>
      <w:proofErr w:type="spellEnd"/>
      <w:r w:rsidRPr="008A6F10">
        <w:rPr>
          <w:rFonts w:asciiTheme="majorHAnsi" w:hAnsiTheme="majorHAnsi"/>
          <w:lang w:val="en-US"/>
        </w:rPr>
        <w:t xml:space="preserve"> and Kiss v. Hungary case.</w:t>
      </w:r>
      <w:r w:rsidRPr="008A6F10">
        <w:rPr>
          <w:rStyle w:val="Lbjegyzet-hivatkozs"/>
          <w:rFonts w:asciiTheme="majorHAnsi" w:hAnsiTheme="majorHAnsi"/>
          <w:lang w:val="en-US"/>
        </w:rPr>
        <w:footnoteReference w:id="37"/>
      </w:r>
    </w:p>
    <w:p w:rsidR="008A6F10" w:rsidRPr="00FB2623" w:rsidRDefault="008A6F10" w:rsidP="008A6F10">
      <w:pPr>
        <w:jc w:val="both"/>
        <w:rPr>
          <w:rFonts w:asciiTheme="majorHAnsi" w:hAnsiTheme="majorHAnsi"/>
          <w:lang w:val="en-US"/>
        </w:rPr>
      </w:pPr>
      <w:r w:rsidRPr="008A6F10">
        <w:rPr>
          <w:rFonts w:asciiTheme="majorHAnsi" w:hAnsiTheme="majorHAnsi"/>
          <w:lang w:val="en-US"/>
        </w:rPr>
        <w:lastRenderedPageBreak/>
        <w:t>The new Public Education Act reduced the compulsory school age from 18 to 16 years and reintroduced “failing” from first grade which affects mainly disadvantaged (and Roma</w:t>
      </w:r>
      <w:r w:rsidR="00C23C43">
        <w:rPr>
          <w:rFonts w:asciiTheme="majorHAnsi" w:hAnsiTheme="majorHAnsi"/>
          <w:lang w:val="en-US"/>
        </w:rPr>
        <w:t>) children</w:t>
      </w:r>
      <w:r w:rsidRPr="008A6F10">
        <w:rPr>
          <w:rFonts w:asciiTheme="majorHAnsi" w:hAnsiTheme="majorHAnsi"/>
          <w:lang w:val="en-US"/>
        </w:rPr>
        <w:t xml:space="preserve"> while school year repetition is one of the main reasons for early drop out.</w:t>
      </w:r>
      <w:r w:rsidRPr="008A6F10">
        <w:rPr>
          <w:rFonts w:asciiTheme="majorHAnsi" w:hAnsiTheme="majorHAnsi"/>
          <w:vertAlign w:val="superscript"/>
          <w:lang w:val="en-US"/>
        </w:rPr>
        <w:footnoteReference w:id="38"/>
      </w:r>
    </w:p>
    <w:p w:rsidR="008A6F10" w:rsidRPr="008A6F10" w:rsidRDefault="008A6F10" w:rsidP="008A6F10">
      <w:pPr>
        <w:pStyle w:val="Listaszerbekezds"/>
        <w:numPr>
          <w:ilvl w:val="0"/>
          <w:numId w:val="35"/>
        </w:numPr>
        <w:rPr>
          <w:rFonts w:asciiTheme="majorHAnsi" w:hAnsiTheme="majorHAnsi"/>
          <w:i/>
          <w:lang w:val="en-US"/>
        </w:rPr>
      </w:pPr>
      <w:r w:rsidRPr="008A6F10">
        <w:rPr>
          <w:rFonts w:asciiTheme="majorHAnsi" w:hAnsiTheme="majorHAnsi"/>
          <w:i/>
          <w:lang w:val="en-US"/>
        </w:rPr>
        <w:t>Continue its efforts to achieve full social integration of minorities, especially the Roma.</w:t>
      </w:r>
    </w:p>
    <w:p w:rsidR="008A6F10" w:rsidRPr="008A6F10" w:rsidRDefault="008A6F10" w:rsidP="008A6F10">
      <w:pPr>
        <w:pStyle w:val="Listaszerbekezds"/>
        <w:numPr>
          <w:ilvl w:val="0"/>
          <w:numId w:val="35"/>
        </w:numPr>
        <w:rPr>
          <w:rFonts w:asciiTheme="majorHAnsi" w:hAnsiTheme="majorHAnsi"/>
          <w:i/>
          <w:lang w:val="en-US"/>
        </w:rPr>
      </w:pPr>
      <w:r w:rsidRPr="008A6F10">
        <w:rPr>
          <w:rFonts w:asciiTheme="majorHAnsi" w:hAnsiTheme="majorHAnsi"/>
          <w:i/>
          <w:lang w:val="en-US"/>
        </w:rPr>
        <w:t>Introduce national measures to eliminate school segregation and actively promote participation in society through education among the Roma community.</w:t>
      </w:r>
    </w:p>
    <w:p w:rsidR="008A6F10" w:rsidRPr="008A6F10" w:rsidRDefault="008A6F10" w:rsidP="008A6F10">
      <w:pPr>
        <w:pStyle w:val="Listaszerbekezds"/>
        <w:numPr>
          <w:ilvl w:val="0"/>
          <w:numId w:val="35"/>
        </w:numPr>
        <w:rPr>
          <w:rFonts w:asciiTheme="majorHAnsi" w:hAnsiTheme="majorHAnsi"/>
          <w:i/>
          <w:lang w:val="en-US"/>
        </w:rPr>
      </w:pPr>
      <w:r w:rsidRPr="008A6F10">
        <w:rPr>
          <w:rFonts w:asciiTheme="majorHAnsi" w:hAnsiTheme="majorHAnsi"/>
          <w:i/>
          <w:lang w:val="en-US"/>
        </w:rPr>
        <w:t>Reinstate compulsory edu</w:t>
      </w:r>
      <w:r w:rsidR="005D3C76">
        <w:rPr>
          <w:rFonts w:asciiTheme="majorHAnsi" w:hAnsiTheme="majorHAnsi"/>
          <w:i/>
          <w:lang w:val="en-US"/>
        </w:rPr>
        <w:t>cation until the age of 18 years.</w:t>
      </w:r>
    </w:p>
    <w:p w:rsidR="008A6F10" w:rsidRPr="008A6F10" w:rsidRDefault="008A6F10" w:rsidP="008A6F10">
      <w:pPr>
        <w:rPr>
          <w:rFonts w:asciiTheme="majorHAnsi" w:hAnsiTheme="majorHAnsi"/>
          <w:b/>
          <w:i/>
          <w:lang w:val="en-US"/>
        </w:rPr>
      </w:pPr>
    </w:p>
    <w:p w:rsidR="008A6F10" w:rsidRPr="008A6F10" w:rsidRDefault="008A6F10" w:rsidP="008A6F10">
      <w:pPr>
        <w:rPr>
          <w:rFonts w:asciiTheme="majorHAnsi" w:hAnsiTheme="majorHAnsi"/>
          <w:b/>
          <w:lang w:val="en-US"/>
        </w:rPr>
      </w:pPr>
      <w:r w:rsidRPr="008A6F10">
        <w:rPr>
          <w:rFonts w:asciiTheme="majorHAnsi" w:hAnsiTheme="majorHAnsi"/>
          <w:b/>
          <w:lang w:val="en-US"/>
        </w:rPr>
        <w:t>Child protection – alternative care</w:t>
      </w:r>
    </w:p>
    <w:p w:rsidR="008A6F10" w:rsidRPr="008A6F10" w:rsidRDefault="008A6F10" w:rsidP="008A6F10">
      <w:pPr>
        <w:jc w:val="both"/>
        <w:rPr>
          <w:rFonts w:asciiTheme="majorHAnsi" w:hAnsiTheme="majorHAnsi"/>
          <w:lang w:val="en-US"/>
        </w:rPr>
      </w:pPr>
      <w:r w:rsidRPr="008A6F10">
        <w:rPr>
          <w:rFonts w:asciiTheme="majorHAnsi" w:hAnsiTheme="majorHAnsi"/>
          <w:lang w:val="en-US"/>
        </w:rPr>
        <w:t>The Hungarian child protection system went through significant changes in the last years. The system was centralized starting from January, 2013.</w:t>
      </w:r>
      <w:r w:rsidRPr="008A6F10">
        <w:rPr>
          <w:rStyle w:val="Lbjegyzet-hivatkozs"/>
          <w:rFonts w:asciiTheme="majorHAnsi" w:hAnsiTheme="majorHAnsi"/>
          <w:lang w:val="en-US"/>
        </w:rPr>
        <w:footnoteReference w:id="39"/>
      </w:r>
      <w:r w:rsidRPr="008A6F10">
        <w:rPr>
          <w:rFonts w:asciiTheme="majorHAnsi" w:hAnsiTheme="majorHAnsi"/>
          <w:lang w:val="en-US"/>
        </w:rPr>
        <w:t xml:space="preserve"> Despi</w:t>
      </w:r>
      <w:r w:rsidR="009B4E15">
        <w:rPr>
          <w:rFonts w:asciiTheme="majorHAnsi" w:hAnsiTheme="majorHAnsi"/>
          <w:lang w:val="en-US"/>
        </w:rPr>
        <w:t>te of the positive image of DE-</w:t>
      </w:r>
      <w:r w:rsidR="009B4E15" w:rsidRPr="009B4E15">
        <w:rPr>
          <w:rFonts w:asciiTheme="majorHAnsi" w:hAnsiTheme="majorHAnsi"/>
          <w:lang w:val="en-US"/>
        </w:rPr>
        <w:t>Institutionalization</w:t>
      </w:r>
      <w:r w:rsidRPr="008A6F10">
        <w:rPr>
          <w:rFonts w:asciiTheme="majorHAnsi" w:hAnsiTheme="majorHAnsi"/>
          <w:lang w:val="en-US"/>
        </w:rPr>
        <w:t>, the law was not prepared carefully enough, it’s discriminative as it doesn’t cover children with disabilities, chronically ill children and multiple siblings; there is not enough new foster care places and therefore often the principle of „empty place” prevails, when finding a place for a child in care and not his/her best interest; a high number of changes in care placements took place in 2014 which can be the result of bad matching, overloaded foster parents, lack of special support or badly trained new foster parents.</w:t>
      </w:r>
    </w:p>
    <w:p w:rsidR="008A6F10" w:rsidRPr="0035782D" w:rsidRDefault="008A6F10" w:rsidP="008A6F10">
      <w:pPr>
        <w:pStyle w:val="Listaszerbekezds"/>
        <w:numPr>
          <w:ilvl w:val="0"/>
          <w:numId w:val="36"/>
        </w:numPr>
        <w:rPr>
          <w:rFonts w:asciiTheme="majorHAnsi" w:hAnsiTheme="majorHAnsi"/>
          <w:i/>
          <w:lang w:val="en-US"/>
        </w:rPr>
      </w:pPr>
      <w:r w:rsidRPr="008A6F10">
        <w:rPr>
          <w:rFonts w:asciiTheme="majorHAnsi" w:hAnsiTheme="majorHAnsi"/>
          <w:i/>
          <w:lang w:val="en-US"/>
        </w:rPr>
        <w:t xml:space="preserve">Take measures to ensure that all </w:t>
      </w:r>
      <w:r w:rsidRPr="0035782D">
        <w:rPr>
          <w:rFonts w:asciiTheme="majorHAnsi" w:hAnsiTheme="majorHAnsi"/>
          <w:i/>
          <w:lang w:val="en-US"/>
        </w:rPr>
        <w:t xml:space="preserve">children in children’s homes, including Roma children, children with disabilities, chronically ill children and multiple siblings are provided with family- and community-based care and that placement in institutional care is used only as a last resort; </w:t>
      </w:r>
    </w:p>
    <w:p w:rsidR="008A6F10" w:rsidRPr="008A6F10" w:rsidRDefault="008A6F10" w:rsidP="008A6F10">
      <w:pPr>
        <w:pStyle w:val="Listaszerbekezds"/>
        <w:numPr>
          <w:ilvl w:val="0"/>
          <w:numId w:val="36"/>
        </w:numPr>
        <w:rPr>
          <w:rFonts w:asciiTheme="majorHAnsi" w:hAnsiTheme="majorHAnsi"/>
          <w:i/>
          <w:lang w:val="en-US"/>
        </w:rPr>
      </w:pPr>
      <w:r w:rsidRPr="008A6F10">
        <w:rPr>
          <w:rFonts w:asciiTheme="majorHAnsi" w:hAnsiTheme="majorHAnsi"/>
          <w:i/>
          <w:lang w:val="en-US"/>
        </w:rPr>
        <w:t>Ensure that children spend the shortest time possible in temporary care and are provided with permanent family- and community-type care solutions.</w:t>
      </w:r>
    </w:p>
    <w:p w:rsidR="008A6F10" w:rsidRPr="008A6F10" w:rsidRDefault="008A6F10" w:rsidP="008A6F10">
      <w:pPr>
        <w:pStyle w:val="Listaszerbekezds"/>
        <w:numPr>
          <w:ilvl w:val="0"/>
          <w:numId w:val="36"/>
        </w:numPr>
        <w:rPr>
          <w:rFonts w:asciiTheme="majorHAnsi" w:hAnsiTheme="majorHAnsi"/>
          <w:i/>
          <w:lang w:val="en-US"/>
        </w:rPr>
      </w:pPr>
      <w:r w:rsidRPr="008A6F10">
        <w:rPr>
          <w:rFonts w:asciiTheme="majorHAnsi" w:hAnsiTheme="majorHAnsi"/>
          <w:i/>
          <w:lang w:val="en-US"/>
        </w:rPr>
        <w:t xml:space="preserve">Provide regular training to foster parents, including on professional skills to care </w:t>
      </w:r>
      <w:r w:rsidR="005D3C76">
        <w:rPr>
          <w:rFonts w:asciiTheme="majorHAnsi" w:hAnsiTheme="majorHAnsi"/>
          <w:i/>
          <w:lang w:val="en-US"/>
        </w:rPr>
        <w:t>for children with special needs.</w:t>
      </w:r>
    </w:p>
    <w:p w:rsidR="008A6F10" w:rsidRPr="008A6F10" w:rsidRDefault="008A6F10" w:rsidP="008A6F10">
      <w:pPr>
        <w:ind w:left="360"/>
        <w:rPr>
          <w:rFonts w:asciiTheme="majorHAnsi" w:hAnsiTheme="majorHAnsi"/>
          <w:i/>
          <w:lang w:val="en-US"/>
        </w:rPr>
      </w:pPr>
    </w:p>
    <w:p w:rsidR="008A6F10" w:rsidRPr="008A6F10" w:rsidRDefault="008A6F10" w:rsidP="008A6F10">
      <w:pPr>
        <w:rPr>
          <w:rFonts w:asciiTheme="majorHAnsi" w:hAnsiTheme="majorHAnsi"/>
          <w:b/>
          <w:lang w:val="en-US"/>
        </w:rPr>
      </w:pPr>
      <w:r w:rsidRPr="008A6F10">
        <w:rPr>
          <w:rFonts w:asciiTheme="majorHAnsi" w:hAnsiTheme="majorHAnsi"/>
          <w:b/>
          <w:lang w:val="en-US"/>
        </w:rPr>
        <w:t>Juvenile justice</w:t>
      </w:r>
    </w:p>
    <w:p w:rsidR="008A6F10" w:rsidRPr="008A6F10" w:rsidRDefault="00186AC0" w:rsidP="008A6F10">
      <w:pPr>
        <w:jc w:val="both"/>
        <w:rPr>
          <w:rFonts w:asciiTheme="majorHAnsi" w:hAnsiTheme="majorHAnsi"/>
          <w:b/>
          <w:lang w:val="en-US"/>
        </w:rPr>
      </w:pPr>
      <w:r>
        <w:rPr>
          <w:rFonts w:asciiTheme="majorHAnsi" w:hAnsiTheme="majorHAnsi"/>
          <w:lang w:val="en-US"/>
        </w:rPr>
        <w:t xml:space="preserve">From </w:t>
      </w:r>
      <w:r w:rsidR="008A6F10" w:rsidRPr="008A6F10">
        <w:rPr>
          <w:rFonts w:asciiTheme="majorHAnsi" w:hAnsiTheme="majorHAnsi"/>
          <w:lang w:val="en-US"/>
        </w:rPr>
        <w:t>15 September 2015 three new crimes related to cros</w:t>
      </w:r>
      <w:r>
        <w:rPr>
          <w:rFonts w:asciiTheme="majorHAnsi" w:hAnsiTheme="majorHAnsi"/>
          <w:lang w:val="en-US"/>
        </w:rPr>
        <w:t xml:space="preserve">sing the border, and </w:t>
      </w:r>
      <w:r w:rsidR="008A6F10" w:rsidRPr="008A6F10">
        <w:rPr>
          <w:rFonts w:asciiTheme="majorHAnsi" w:hAnsiTheme="majorHAnsi"/>
          <w:lang w:val="en-US"/>
        </w:rPr>
        <w:t>special rules expediting criminal procedures for those illegally crossing the fence</w:t>
      </w:r>
      <w:r>
        <w:rPr>
          <w:rFonts w:asciiTheme="majorHAnsi" w:hAnsiTheme="majorHAnsi"/>
          <w:lang w:val="en-US"/>
        </w:rPr>
        <w:t xml:space="preserve"> on the border are in place</w:t>
      </w:r>
      <w:r w:rsidR="008A6F10" w:rsidRPr="008A6F10">
        <w:rPr>
          <w:rFonts w:asciiTheme="majorHAnsi" w:hAnsiTheme="majorHAnsi"/>
          <w:lang w:val="en-US"/>
        </w:rPr>
        <w:t>. The special protections and rules pertaining to minors</w:t>
      </w:r>
      <w:r w:rsidR="00164CC9">
        <w:rPr>
          <w:rStyle w:val="Lbjegyzet-hivatkozs"/>
          <w:rFonts w:asciiTheme="majorHAnsi" w:hAnsiTheme="majorHAnsi"/>
          <w:lang w:val="en-US"/>
        </w:rPr>
        <w:footnoteReference w:id="40"/>
      </w:r>
      <w:r w:rsidR="008A6F10" w:rsidRPr="008A6F10">
        <w:rPr>
          <w:rFonts w:asciiTheme="majorHAnsi" w:hAnsiTheme="majorHAnsi"/>
          <w:lang w:val="en-US"/>
        </w:rPr>
        <w:t xml:space="preserve"> are not met in the criminal procedures relating to the border closure. This means that for those under the age of 18 there is no requirement to appoint a guardian and parents or legal guardians cannot exercise their rights related to the case of the minor even if they reside within Hungary. Neither the favorable rules relating to deferred prosecution, nor the specialized rules of evidence pertaining to juveniles (i.e.: prohibition of the use of lie detectors) apply in these cases. </w:t>
      </w:r>
    </w:p>
    <w:p w:rsidR="008A6F10" w:rsidRPr="008A6F10" w:rsidRDefault="008A6F10" w:rsidP="008A6F10">
      <w:pPr>
        <w:pStyle w:val="Listaszerbekezds"/>
        <w:numPr>
          <w:ilvl w:val="0"/>
          <w:numId w:val="38"/>
        </w:numPr>
        <w:rPr>
          <w:rFonts w:asciiTheme="majorHAnsi" w:hAnsiTheme="majorHAnsi"/>
          <w:i/>
          <w:lang w:val="en-US"/>
        </w:rPr>
      </w:pPr>
      <w:r w:rsidRPr="008A6F10">
        <w:rPr>
          <w:rFonts w:asciiTheme="majorHAnsi" w:hAnsiTheme="majorHAnsi"/>
          <w:i/>
          <w:lang w:val="en-US"/>
        </w:rPr>
        <w:lastRenderedPageBreak/>
        <w:t>Ensure that asylum-seeking, unaccompanied and migrant children are not detained under any circum</w:t>
      </w:r>
      <w:r w:rsidR="00BD7A00">
        <w:rPr>
          <w:rFonts w:asciiTheme="majorHAnsi" w:hAnsiTheme="majorHAnsi"/>
          <w:i/>
          <w:lang w:val="en-US"/>
        </w:rPr>
        <w:t>stance. In age assessment testing</w:t>
      </w:r>
      <w:r w:rsidRPr="008A6F10">
        <w:rPr>
          <w:rFonts w:asciiTheme="majorHAnsi" w:hAnsiTheme="majorHAnsi"/>
          <w:i/>
          <w:lang w:val="en-US"/>
        </w:rPr>
        <w:t xml:space="preserve"> take into account all aspects, including the psychological and environmental aspects, of the person under assessment.</w:t>
      </w:r>
    </w:p>
    <w:p w:rsidR="008A6F10" w:rsidRPr="008A6F10" w:rsidRDefault="008A6F10" w:rsidP="008A6F10">
      <w:pPr>
        <w:pStyle w:val="Listaszerbekezds"/>
        <w:numPr>
          <w:ilvl w:val="0"/>
          <w:numId w:val="38"/>
        </w:numPr>
        <w:rPr>
          <w:rFonts w:asciiTheme="majorHAnsi" w:hAnsiTheme="majorHAnsi"/>
          <w:i/>
          <w:lang w:val="en-US"/>
        </w:rPr>
      </w:pPr>
      <w:r w:rsidRPr="008A6F10">
        <w:rPr>
          <w:rFonts w:asciiTheme="majorHAnsi" w:hAnsiTheme="majorHAnsi"/>
          <w:i/>
          <w:lang w:val="en-US"/>
        </w:rPr>
        <w:t>Harmonize the criminal procedure law with the UN CRC;</w:t>
      </w:r>
    </w:p>
    <w:p w:rsidR="008A6F10" w:rsidRPr="008A6F10" w:rsidRDefault="008A6F10" w:rsidP="008A6F10">
      <w:pPr>
        <w:pStyle w:val="Listaszerbekezds"/>
        <w:numPr>
          <w:ilvl w:val="0"/>
          <w:numId w:val="38"/>
        </w:numPr>
        <w:rPr>
          <w:rFonts w:asciiTheme="majorHAnsi" w:hAnsiTheme="majorHAnsi"/>
          <w:i/>
          <w:lang w:val="en-US"/>
        </w:rPr>
      </w:pPr>
      <w:r w:rsidRPr="008A6F10">
        <w:rPr>
          <w:rFonts w:asciiTheme="majorHAnsi" w:hAnsiTheme="majorHAnsi"/>
          <w:i/>
          <w:lang w:val="en-US"/>
        </w:rPr>
        <w:t>Reinstate the juvenile courts with judges who have undergone special training;</w:t>
      </w:r>
    </w:p>
    <w:p w:rsidR="008A6F10" w:rsidRPr="008A6F10" w:rsidRDefault="008A6F10" w:rsidP="008A6F10">
      <w:pPr>
        <w:pStyle w:val="Listaszerbekezds"/>
        <w:numPr>
          <w:ilvl w:val="0"/>
          <w:numId w:val="38"/>
        </w:numPr>
        <w:rPr>
          <w:rFonts w:asciiTheme="majorHAnsi" w:hAnsiTheme="majorHAnsi"/>
          <w:i/>
          <w:lang w:val="en-US"/>
        </w:rPr>
      </w:pPr>
      <w:r w:rsidRPr="008A6F10">
        <w:rPr>
          <w:rFonts w:asciiTheme="majorHAnsi" w:hAnsiTheme="majorHAnsi"/>
          <w:i/>
          <w:lang w:val="en-US"/>
        </w:rPr>
        <w:t xml:space="preserve">Take measures to raise the age of criminal responsibility from 12 years back up to 14 years, even for the most serious </w:t>
      </w:r>
      <w:r w:rsidR="00BD7A00">
        <w:rPr>
          <w:rFonts w:asciiTheme="majorHAnsi" w:hAnsiTheme="majorHAnsi"/>
          <w:i/>
          <w:lang w:val="en-US"/>
        </w:rPr>
        <w:t>crimes.</w:t>
      </w:r>
    </w:p>
    <w:p w:rsidR="00111E7F" w:rsidRPr="008A6F10" w:rsidRDefault="00111E7F" w:rsidP="001C1735">
      <w:pPr>
        <w:spacing w:after="120"/>
        <w:rPr>
          <w:rFonts w:asciiTheme="majorHAnsi" w:hAnsiTheme="majorHAnsi" w:cs="Times New Roman"/>
          <w:b/>
          <w:lang w:val="en-US"/>
        </w:rPr>
      </w:pPr>
    </w:p>
    <w:p w:rsidR="00AA2470" w:rsidRPr="008A6F10" w:rsidRDefault="00AA2470" w:rsidP="00D7117E">
      <w:pPr>
        <w:pStyle w:val="Cmsor1"/>
        <w:rPr>
          <w:lang w:val="en-US" w:eastAsia="hu-HU"/>
        </w:rPr>
      </w:pPr>
      <w:r w:rsidRPr="008A6F10">
        <w:rPr>
          <w:lang w:val="en-US" w:eastAsia="hu-HU"/>
        </w:rPr>
        <w:t>Homelessness</w:t>
      </w:r>
    </w:p>
    <w:p w:rsidR="00CC79F7" w:rsidRPr="008A6F10" w:rsidRDefault="00CC79F7" w:rsidP="005A44A8">
      <w:pPr>
        <w:pStyle w:val="Listaszerbekezds"/>
        <w:numPr>
          <w:ilvl w:val="0"/>
          <w:numId w:val="31"/>
        </w:numPr>
        <w:spacing w:after="120"/>
        <w:rPr>
          <w:rFonts w:asciiTheme="majorHAnsi" w:hAnsiTheme="majorHAnsi"/>
          <w:b/>
          <w:lang w:val="en-US"/>
        </w:rPr>
      </w:pPr>
      <w:r w:rsidRPr="008A6F10">
        <w:rPr>
          <w:rFonts w:asciiTheme="majorHAnsi" w:hAnsiTheme="majorHAnsi"/>
          <w:b/>
          <w:lang w:val="en-US"/>
        </w:rPr>
        <w:t>Housing</w:t>
      </w:r>
    </w:p>
    <w:p w:rsidR="00CC79F7" w:rsidRPr="008A6F10" w:rsidRDefault="00CC79F7" w:rsidP="00CC79F7">
      <w:pPr>
        <w:pStyle w:val="Listaszerbekezds"/>
        <w:numPr>
          <w:ilvl w:val="0"/>
          <w:numId w:val="21"/>
        </w:numPr>
        <w:ind w:left="709"/>
        <w:rPr>
          <w:rFonts w:asciiTheme="majorHAnsi" w:hAnsiTheme="majorHAnsi"/>
          <w:i/>
          <w:lang w:val="en-US" w:bidi="en-US"/>
        </w:rPr>
      </w:pPr>
      <w:r w:rsidRPr="008A6F10">
        <w:rPr>
          <w:rFonts w:asciiTheme="majorHAnsi" w:hAnsiTheme="majorHAnsi"/>
          <w:i/>
          <w:lang w:val="en-US"/>
        </w:rPr>
        <w:t>Repeal section XXII/3 of</w:t>
      </w:r>
      <w:r w:rsidR="00BD7A00">
        <w:rPr>
          <w:rFonts w:asciiTheme="majorHAnsi" w:hAnsiTheme="majorHAnsi"/>
          <w:i/>
          <w:lang w:val="en-US"/>
        </w:rPr>
        <w:t xml:space="preserve"> the Fundamental Law </w:t>
      </w:r>
      <w:r w:rsidRPr="008A6F10">
        <w:rPr>
          <w:rFonts w:asciiTheme="majorHAnsi" w:hAnsiTheme="majorHAnsi"/>
          <w:i/>
          <w:lang w:val="en-US"/>
        </w:rPr>
        <w:t>as it contradicts the right of homeless persons to legal certainty, human dignity and property. Also repeal Articles 178/</w:t>
      </w:r>
      <w:proofErr w:type="gramStart"/>
      <w:r w:rsidRPr="008A6F10">
        <w:rPr>
          <w:rFonts w:asciiTheme="majorHAnsi" w:hAnsiTheme="majorHAnsi"/>
          <w:i/>
          <w:lang w:val="en-US"/>
        </w:rPr>
        <w:t>A and</w:t>
      </w:r>
      <w:proofErr w:type="gramEnd"/>
      <w:r w:rsidRPr="008A6F10">
        <w:rPr>
          <w:rFonts w:asciiTheme="majorHAnsi" w:hAnsiTheme="majorHAnsi"/>
          <w:i/>
          <w:lang w:val="en-US"/>
        </w:rPr>
        <w:t xml:space="preserve"> 179/A of Act 2012/II. </w:t>
      </w:r>
      <w:proofErr w:type="gramStart"/>
      <w:r w:rsidRPr="008A6F10">
        <w:rPr>
          <w:rFonts w:asciiTheme="majorHAnsi" w:hAnsiTheme="majorHAnsi"/>
          <w:i/>
          <w:lang w:val="en-US"/>
        </w:rPr>
        <w:t>on</w:t>
      </w:r>
      <w:proofErr w:type="gramEnd"/>
      <w:r w:rsidRPr="008A6F10">
        <w:rPr>
          <w:rFonts w:asciiTheme="majorHAnsi" w:hAnsiTheme="majorHAnsi"/>
          <w:i/>
          <w:lang w:val="en-US"/>
        </w:rPr>
        <w:t xml:space="preserve"> misdemeanors as these measures criminalize housing poverty and deprive people of the last resort to secure their own safety amidst the lack of state provided housing support.  </w:t>
      </w:r>
    </w:p>
    <w:p w:rsidR="00CC79F7" w:rsidRPr="008A6F10" w:rsidRDefault="00CC79F7" w:rsidP="00CC79F7">
      <w:pPr>
        <w:pStyle w:val="Listaszerbekezds"/>
        <w:numPr>
          <w:ilvl w:val="0"/>
          <w:numId w:val="21"/>
        </w:numPr>
        <w:ind w:left="709"/>
        <w:rPr>
          <w:rFonts w:asciiTheme="majorHAnsi" w:hAnsiTheme="majorHAnsi"/>
          <w:i/>
          <w:lang w:val="en-US" w:bidi="en-US"/>
        </w:rPr>
      </w:pPr>
      <w:r w:rsidRPr="008A6F10">
        <w:rPr>
          <w:rFonts w:asciiTheme="majorHAnsi" w:hAnsiTheme="majorHAnsi"/>
          <w:i/>
          <w:lang w:val="en-US"/>
        </w:rPr>
        <w:t>Adopt and implement Article 31 of the European Social Charter.</w:t>
      </w:r>
    </w:p>
    <w:p w:rsidR="00CC79F7" w:rsidRPr="008A6F10" w:rsidRDefault="00CC79F7" w:rsidP="00CC79F7">
      <w:pPr>
        <w:pStyle w:val="Listaszerbekezds"/>
        <w:numPr>
          <w:ilvl w:val="0"/>
          <w:numId w:val="21"/>
        </w:numPr>
        <w:ind w:left="709"/>
        <w:rPr>
          <w:rFonts w:asciiTheme="majorHAnsi" w:hAnsiTheme="majorHAnsi"/>
          <w:i/>
          <w:lang w:val="en-US" w:bidi="en-US"/>
        </w:rPr>
      </w:pPr>
      <w:r w:rsidRPr="008A6F10">
        <w:rPr>
          <w:rFonts w:asciiTheme="majorHAnsi" w:hAnsiTheme="majorHAnsi"/>
          <w:i/>
          <w:lang w:val="en-US"/>
        </w:rPr>
        <w:t>Provide adequate support to paying housing costs – as a minimum reintroduce the housing maintenance subsidy and the debt-settlement service. Ensure that Roma citizens have equal access to all available forms of housing support (incl</w:t>
      </w:r>
      <w:r w:rsidR="00BD7A00">
        <w:rPr>
          <w:rFonts w:asciiTheme="majorHAnsi" w:hAnsiTheme="majorHAnsi"/>
          <w:i/>
          <w:lang w:val="en-US"/>
        </w:rPr>
        <w:t>uding</w:t>
      </w:r>
      <w:r w:rsidRPr="008A6F10">
        <w:rPr>
          <w:rFonts w:asciiTheme="majorHAnsi" w:hAnsiTheme="majorHAnsi"/>
          <w:i/>
          <w:lang w:val="en-US"/>
        </w:rPr>
        <w:t xml:space="preserve"> social housing) and that they undergo equal treatment before housing authorities. </w:t>
      </w:r>
    </w:p>
    <w:p w:rsidR="00CC79F7" w:rsidRPr="008A6F10" w:rsidRDefault="00CC79F7" w:rsidP="00CC79F7">
      <w:pPr>
        <w:pStyle w:val="Listaszerbekezds"/>
        <w:numPr>
          <w:ilvl w:val="0"/>
          <w:numId w:val="21"/>
        </w:numPr>
        <w:ind w:left="709"/>
        <w:rPr>
          <w:rFonts w:asciiTheme="majorHAnsi" w:hAnsiTheme="majorHAnsi"/>
          <w:i/>
          <w:lang w:val="en-US" w:bidi="en-US"/>
        </w:rPr>
      </w:pPr>
      <w:r w:rsidRPr="008A6F10">
        <w:rPr>
          <w:rFonts w:asciiTheme="majorHAnsi" w:hAnsiTheme="majorHAnsi"/>
          <w:i/>
          <w:lang w:val="en-US"/>
        </w:rPr>
        <w:t xml:space="preserve">Stop forced evictions. If a person/family is unable to maintain their housing, offer </w:t>
      </w:r>
      <w:proofErr w:type="gramStart"/>
      <w:r w:rsidRPr="008A6F10">
        <w:rPr>
          <w:rFonts w:asciiTheme="majorHAnsi" w:hAnsiTheme="majorHAnsi"/>
          <w:i/>
          <w:lang w:val="en-US"/>
        </w:rPr>
        <w:t>them</w:t>
      </w:r>
      <w:proofErr w:type="gramEnd"/>
      <w:r w:rsidRPr="008A6F10">
        <w:rPr>
          <w:rFonts w:asciiTheme="majorHAnsi" w:hAnsiTheme="majorHAnsi"/>
          <w:i/>
          <w:lang w:val="en-US"/>
        </w:rPr>
        <w:t xml:space="preserve"> alternative housing options or adequate support to maintain their housing.</w:t>
      </w:r>
    </w:p>
    <w:p w:rsidR="00CC79F7" w:rsidRPr="008A6F10" w:rsidRDefault="00CC79F7" w:rsidP="00CC79F7">
      <w:pPr>
        <w:pStyle w:val="Listaszerbekezds"/>
        <w:numPr>
          <w:ilvl w:val="0"/>
          <w:numId w:val="21"/>
        </w:numPr>
        <w:ind w:left="709"/>
        <w:rPr>
          <w:rFonts w:asciiTheme="majorHAnsi" w:hAnsiTheme="majorHAnsi"/>
          <w:i/>
          <w:lang w:val="en-US" w:bidi="en-US"/>
        </w:rPr>
      </w:pPr>
      <w:r w:rsidRPr="008A6F10">
        <w:rPr>
          <w:rFonts w:asciiTheme="majorHAnsi" w:hAnsiTheme="majorHAnsi"/>
          <w:i/>
          <w:lang w:val="en-US"/>
        </w:rPr>
        <w:t>Increase significantly the availability of affordable housing – either provided directly by the state/local authorities or by public-private housing associations targeting low-income people. It entails an immediate hold on selling housing owned by the state/local authorities. Ensure the wide availability of affordable housing by legal means (e.g. by setting a threshold on the level of social/community housing in each municipality).</w:t>
      </w:r>
    </w:p>
    <w:p w:rsidR="00CC79F7" w:rsidRPr="008A6F10" w:rsidRDefault="00CC79F7" w:rsidP="00CC79F7">
      <w:pPr>
        <w:spacing w:after="120"/>
        <w:rPr>
          <w:rFonts w:asciiTheme="majorHAnsi" w:eastAsia="Calibri" w:hAnsiTheme="majorHAnsi" w:cs="Times New Roman"/>
          <w:b/>
          <w:lang w:val="en-US"/>
        </w:rPr>
      </w:pPr>
    </w:p>
    <w:p w:rsidR="00CC79F7" w:rsidRPr="008A6F10" w:rsidRDefault="00CC79F7" w:rsidP="00CC79F7">
      <w:pPr>
        <w:pStyle w:val="Listaszerbekezds"/>
        <w:numPr>
          <w:ilvl w:val="0"/>
          <w:numId w:val="31"/>
        </w:numPr>
        <w:spacing w:after="120"/>
        <w:rPr>
          <w:rFonts w:asciiTheme="majorHAnsi" w:hAnsiTheme="majorHAnsi"/>
          <w:b/>
          <w:lang w:val="en-US"/>
        </w:rPr>
      </w:pPr>
      <w:r w:rsidRPr="008A6F10">
        <w:rPr>
          <w:rFonts w:asciiTheme="majorHAnsi" w:hAnsiTheme="majorHAnsi"/>
          <w:b/>
          <w:lang w:val="en-US"/>
        </w:rPr>
        <w:t>Employment</w:t>
      </w:r>
    </w:p>
    <w:p w:rsidR="00CC79F7" w:rsidRPr="008A6F10" w:rsidRDefault="00CC79F7" w:rsidP="00CC79F7">
      <w:pPr>
        <w:pStyle w:val="Listaszerbekezds"/>
        <w:numPr>
          <w:ilvl w:val="0"/>
          <w:numId w:val="21"/>
        </w:numPr>
        <w:ind w:left="709"/>
        <w:rPr>
          <w:rFonts w:asciiTheme="majorHAnsi" w:hAnsiTheme="majorHAnsi"/>
          <w:i/>
          <w:lang w:val="en-US" w:bidi="en-US"/>
        </w:rPr>
      </w:pPr>
      <w:r w:rsidRPr="008A6F10">
        <w:rPr>
          <w:rFonts w:asciiTheme="majorHAnsi" w:hAnsiTheme="majorHAnsi"/>
          <w:i/>
          <w:lang w:val="en-US"/>
        </w:rPr>
        <w:t xml:space="preserve">Ensure the equality before the law of people employed in public works programs, ensure that the Labor Code applies to them equally. </w:t>
      </w:r>
    </w:p>
    <w:p w:rsidR="00CC79F7" w:rsidRPr="008A6F10" w:rsidRDefault="00CC79F7" w:rsidP="00CC79F7">
      <w:pPr>
        <w:spacing w:after="120"/>
        <w:rPr>
          <w:rFonts w:asciiTheme="majorHAnsi" w:eastAsia="Calibri" w:hAnsiTheme="majorHAnsi" w:cs="Times New Roman"/>
          <w:lang w:val="en-US"/>
        </w:rPr>
      </w:pPr>
    </w:p>
    <w:p w:rsidR="00CC79F7" w:rsidRPr="008A6F10" w:rsidRDefault="00CC79F7" w:rsidP="00CC79F7">
      <w:pPr>
        <w:pStyle w:val="Listaszerbekezds"/>
        <w:numPr>
          <w:ilvl w:val="0"/>
          <w:numId w:val="31"/>
        </w:numPr>
        <w:spacing w:after="120"/>
        <w:rPr>
          <w:rFonts w:asciiTheme="majorHAnsi" w:hAnsiTheme="majorHAnsi"/>
          <w:b/>
          <w:lang w:val="en-US"/>
        </w:rPr>
      </w:pPr>
      <w:r w:rsidRPr="008A6F10">
        <w:rPr>
          <w:rFonts w:asciiTheme="majorHAnsi" w:hAnsiTheme="majorHAnsi"/>
          <w:b/>
          <w:lang w:val="en-US"/>
        </w:rPr>
        <w:t>Right to vote</w:t>
      </w:r>
    </w:p>
    <w:p w:rsidR="00CC79F7" w:rsidRPr="008A6F10" w:rsidRDefault="00CC79F7" w:rsidP="00CC79F7">
      <w:pPr>
        <w:pStyle w:val="Listaszerbekezds"/>
        <w:numPr>
          <w:ilvl w:val="0"/>
          <w:numId w:val="21"/>
        </w:numPr>
        <w:ind w:left="709"/>
        <w:rPr>
          <w:rFonts w:asciiTheme="majorHAnsi" w:hAnsiTheme="majorHAnsi"/>
          <w:i/>
          <w:lang w:val="en-US" w:bidi="en-US"/>
        </w:rPr>
      </w:pPr>
      <w:r w:rsidRPr="008A6F10">
        <w:rPr>
          <w:rFonts w:asciiTheme="majorHAnsi" w:hAnsiTheme="majorHAnsi"/>
          <w:i/>
          <w:lang w:val="en-US"/>
        </w:rPr>
        <w:t xml:space="preserve">Ensure that </w:t>
      </w:r>
      <w:r w:rsidRPr="008A6F10">
        <w:rPr>
          <w:rFonts w:asciiTheme="majorHAnsi" w:hAnsiTheme="majorHAnsi"/>
          <w:i/>
          <w:color w:val="000000"/>
          <w:lang w:val="en-US"/>
        </w:rPr>
        <w:t xml:space="preserve">electoral procedures in general would become barrier-free and accessible to persons with any type of address. </w:t>
      </w:r>
    </w:p>
    <w:p w:rsidR="00CC79F7" w:rsidRPr="008A6F10" w:rsidRDefault="00CC79F7" w:rsidP="00CC79F7">
      <w:pPr>
        <w:spacing w:after="120"/>
        <w:rPr>
          <w:rFonts w:asciiTheme="majorHAnsi" w:eastAsia="Calibri" w:hAnsiTheme="majorHAnsi" w:cs="Times New Roman"/>
          <w:i/>
          <w:color w:val="000000"/>
          <w:lang w:val="en-US"/>
        </w:rPr>
      </w:pPr>
    </w:p>
    <w:p w:rsidR="00CC79F7" w:rsidRPr="008A6F10" w:rsidRDefault="00CC79F7" w:rsidP="00CC79F7">
      <w:pPr>
        <w:pStyle w:val="Listaszerbekezds"/>
        <w:numPr>
          <w:ilvl w:val="0"/>
          <w:numId w:val="31"/>
        </w:numPr>
        <w:spacing w:after="120"/>
        <w:rPr>
          <w:rFonts w:asciiTheme="majorHAnsi" w:hAnsiTheme="majorHAnsi"/>
          <w:b/>
          <w:color w:val="000000"/>
          <w:lang w:val="en-US"/>
        </w:rPr>
      </w:pPr>
      <w:r w:rsidRPr="008A6F10">
        <w:rPr>
          <w:rFonts w:asciiTheme="majorHAnsi" w:hAnsiTheme="majorHAnsi"/>
          <w:b/>
          <w:color w:val="000000"/>
          <w:lang w:val="en-US"/>
        </w:rPr>
        <w:t>Health care</w:t>
      </w:r>
    </w:p>
    <w:p w:rsidR="00CC79F7" w:rsidRPr="008A6F10" w:rsidRDefault="00CC79F7" w:rsidP="00CC79F7">
      <w:pPr>
        <w:pStyle w:val="Listaszerbekezds"/>
        <w:numPr>
          <w:ilvl w:val="0"/>
          <w:numId w:val="21"/>
        </w:numPr>
        <w:ind w:left="709"/>
        <w:rPr>
          <w:rFonts w:asciiTheme="majorHAnsi" w:hAnsiTheme="majorHAnsi"/>
          <w:i/>
          <w:lang w:val="en-US" w:bidi="en-US"/>
        </w:rPr>
      </w:pPr>
      <w:r w:rsidRPr="008A6F10">
        <w:rPr>
          <w:rFonts w:asciiTheme="majorHAnsi" w:hAnsiTheme="majorHAnsi"/>
          <w:i/>
          <w:color w:val="000000"/>
          <w:lang w:val="en-US"/>
        </w:rPr>
        <w:t>Ensure that all social strata, including homeless people have in reality equal access to the universal health care system, meaning access to the highest quality service available in the system.</w:t>
      </w:r>
    </w:p>
    <w:p w:rsidR="00CC79F7" w:rsidRPr="008A6F10" w:rsidRDefault="00CC79F7" w:rsidP="00CC79F7">
      <w:pPr>
        <w:pStyle w:val="Listaszerbekezds"/>
        <w:numPr>
          <w:ilvl w:val="0"/>
          <w:numId w:val="21"/>
        </w:numPr>
        <w:ind w:left="709"/>
        <w:rPr>
          <w:rFonts w:asciiTheme="majorHAnsi" w:hAnsiTheme="majorHAnsi"/>
          <w:i/>
          <w:lang w:val="en-US" w:bidi="en-US"/>
        </w:rPr>
      </w:pPr>
      <w:r w:rsidRPr="008A6F10">
        <w:rPr>
          <w:rFonts w:asciiTheme="majorHAnsi" w:hAnsiTheme="majorHAnsi"/>
          <w:i/>
          <w:color w:val="000000"/>
          <w:lang w:val="en-US"/>
        </w:rPr>
        <w:t xml:space="preserve">Through the universal health care system, ensure that pre-conception birth control devices (e.g. contraceptive pills or condoms) are widely available and affordable for all social strata. </w:t>
      </w:r>
    </w:p>
    <w:p w:rsidR="00CC79F7" w:rsidRPr="008A6F10" w:rsidRDefault="00CC79F7" w:rsidP="00CC79F7">
      <w:pPr>
        <w:spacing w:after="120"/>
        <w:rPr>
          <w:rFonts w:asciiTheme="majorHAnsi" w:eastAsia="Calibri" w:hAnsiTheme="majorHAnsi" w:cs="Times New Roman"/>
          <w:color w:val="000000"/>
          <w:lang w:val="en-US"/>
        </w:rPr>
      </w:pPr>
    </w:p>
    <w:p w:rsidR="00CC79F7" w:rsidRPr="008A6F10" w:rsidRDefault="00CC79F7" w:rsidP="00CC79F7">
      <w:pPr>
        <w:pStyle w:val="Listaszerbekezds"/>
        <w:numPr>
          <w:ilvl w:val="0"/>
          <w:numId w:val="31"/>
        </w:numPr>
        <w:spacing w:after="120"/>
        <w:rPr>
          <w:rFonts w:asciiTheme="majorHAnsi" w:hAnsiTheme="majorHAnsi"/>
          <w:b/>
          <w:color w:val="000000"/>
          <w:lang w:val="en-US"/>
        </w:rPr>
      </w:pPr>
      <w:r w:rsidRPr="008A6F10">
        <w:rPr>
          <w:rFonts w:asciiTheme="majorHAnsi" w:hAnsiTheme="majorHAnsi"/>
          <w:b/>
          <w:color w:val="000000"/>
          <w:lang w:val="en-US"/>
        </w:rPr>
        <w:t>Police</w:t>
      </w:r>
    </w:p>
    <w:p w:rsidR="00CC79F7" w:rsidRPr="008A6F10" w:rsidRDefault="00CC79F7" w:rsidP="00CC79F7">
      <w:pPr>
        <w:pStyle w:val="Listaszerbekezds"/>
        <w:numPr>
          <w:ilvl w:val="0"/>
          <w:numId w:val="21"/>
        </w:numPr>
        <w:ind w:left="709"/>
        <w:rPr>
          <w:rFonts w:asciiTheme="majorHAnsi" w:hAnsiTheme="majorHAnsi"/>
          <w:i/>
          <w:lang w:val="en-US" w:bidi="en-US"/>
        </w:rPr>
      </w:pPr>
      <w:r w:rsidRPr="008A6F10">
        <w:rPr>
          <w:rFonts w:asciiTheme="majorHAnsi" w:hAnsiTheme="majorHAnsi"/>
          <w:i/>
          <w:color w:val="000000"/>
          <w:lang w:val="en-US"/>
        </w:rPr>
        <w:t xml:space="preserve">Ensure by adequate monitoring procedures and sensitizing trainings that police officers do not harass homeless people in public spaces by class-based profiling.  </w:t>
      </w:r>
    </w:p>
    <w:p w:rsidR="00CC79F7" w:rsidRPr="008A6F10" w:rsidRDefault="00CC79F7" w:rsidP="00CC79F7">
      <w:pPr>
        <w:spacing w:after="120"/>
        <w:rPr>
          <w:rFonts w:asciiTheme="majorHAnsi" w:eastAsia="Calibri" w:hAnsiTheme="majorHAnsi" w:cs="Times New Roman"/>
          <w:color w:val="000000"/>
          <w:lang w:val="en-US"/>
        </w:rPr>
      </w:pPr>
    </w:p>
    <w:p w:rsidR="00CC79F7" w:rsidRPr="008A6F10" w:rsidRDefault="00CC79F7" w:rsidP="00CC79F7">
      <w:pPr>
        <w:pStyle w:val="Listaszerbekezds"/>
        <w:numPr>
          <w:ilvl w:val="0"/>
          <w:numId w:val="31"/>
        </w:numPr>
        <w:spacing w:after="120"/>
        <w:rPr>
          <w:rFonts w:asciiTheme="majorHAnsi" w:hAnsiTheme="majorHAnsi"/>
          <w:b/>
          <w:lang w:val="en-US"/>
        </w:rPr>
      </w:pPr>
      <w:r w:rsidRPr="008A6F10">
        <w:rPr>
          <w:rFonts w:asciiTheme="majorHAnsi" w:hAnsiTheme="majorHAnsi"/>
          <w:b/>
          <w:lang w:val="en-US"/>
        </w:rPr>
        <w:t>Right of the child</w:t>
      </w:r>
    </w:p>
    <w:p w:rsidR="001C1735" w:rsidRPr="00942DFB" w:rsidRDefault="00CC79F7" w:rsidP="005A44A8">
      <w:pPr>
        <w:pStyle w:val="Listaszerbekezds"/>
        <w:numPr>
          <w:ilvl w:val="0"/>
          <w:numId w:val="21"/>
        </w:numPr>
        <w:ind w:left="709"/>
        <w:rPr>
          <w:rFonts w:asciiTheme="majorHAnsi" w:hAnsiTheme="majorHAnsi"/>
          <w:b/>
          <w:lang w:val="en-US"/>
        </w:rPr>
      </w:pPr>
      <w:r w:rsidRPr="00942DFB">
        <w:rPr>
          <w:rFonts w:asciiTheme="majorHAnsi" w:hAnsiTheme="majorHAnsi"/>
          <w:i/>
          <w:lang w:val="en-US"/>
        </w:rPr>
        <w:lastRenderedPageBreak/>
        <w:t xml:space="preserve">Ensure the right of every child to be raised in their family and that no child is “removed from their family due to their endangerment on the basis of solely material reasons” including the lack of adequate housing (as stated in Article 7 of the Act XXXI of 1997 on the protection of children and guardianship administration). </w:t>
      </w:r>
    </w:p>
    <w:p w:rsidR="001C1735" w:rsidRPr="008A6F10" w:rsidRDefault="001C1735" w:rsidP="001C1735">
      <w:pPr>
        <w:rPr>
          <w:rFonts w:asciiTheme="majorHAnsi" w:hAnsiTheme="majorHAnsi"/>
          <w:b/>
          <w:lang w:val="en-US"/>
        </w:rPr>
      </w:pPr>
    </w:p>
    <w:p w:rsidR="001C1735" w:rsidRPr="008A6F10" w:rsidRDefault="001C1735" w:rsidP="00D7117E">
      <w:pPr>
        <w:pStyle w:val="Cmsor1"/>
        <w:rPr>
          <w:lang w:val="en-US"/>
        </w:rPr>
      </w:pPr>
      <w:r w:rsidRPr="008A6F10">
        <w:rPr>
          <w:lang w:val="en-US"/>
        </w:rPr>
        <w:t>The right to privacy and the right to data protection</w:t>
      </w:r>
    </w:p>
    <w:p w:rsidR="00FE1B53" w:rsidRDefault="00765E6D" w:rsidP="00FE1B53">
      <w:pPr>
        <w:jc w:val="both"/>
        <w:rPr>
          <w:rFonts w:asciiTheme="majorHAnsi" w:hAnsiTheme="majorHAnsi"/>
          <w:lang w:val="en-US"/>
        </w:rPr>
      </w:pPr>
      <w:r w:rsidRPr="008A6F10">
        <w:rPr>
          <w:rFonts w:asciiTheme="majorHAnsi" w:hAnsiTheme="majorHAnsi"/>
          <w:lang w:val="en-US"/>
        </w:rPr>
        <w:br/>
        <w:t>Certain authorities</w:t>
      </w:r>
      <w:r w:rsidRPr="008A6F10">
        <w:rPr>
          <w:rStyle w:val="Lbjegyzet-hivatkozs"/>
          <w:rFonts w:asciiTheme="majorHAnsi" w:hAnsiTheme="majorHAnsi"/>
          <w:lang w:val="en-US"/>
        </w:rPr>
        <w:footnoteReference w:id="41"/>
      </w:r>
      <w:r w:rsidR="00360361" w:rsidRPr="008A6F10">
        <w:rPr>
          <w:rFonts w:asciiTheme="majorHAnsi" w:hAnsiTheme="majorHAnsi"/>
          <w:lang w:val="en-US"/>
        </w:rPr>
        <w:t xml:space="preserve"> are entitled secret house search and surveillance with</w:t>
      </w:r>
      <w:r w:rsidR="009D7BBE">
        <w:rPr>
          <w:rFonts w:asciiTheme="majorHAnsi" w:hAnsiTheme="majorHAnsi"/>
          <w:lang w:val="en-US"/>
        </w:rPr>
        <w:t xml:space="preserve"> </w:t>
      </w:r>
      <w:r w:rsidR="00360361" w:rsidRPr="008A6F10">
        <w:rPr>
          <w:rFonts w:asciiTheme="majorHAnsi" w:hAnsiTheme="majorHAnsi"/>
          <w:lang w:val="en-US"/>
        </w:rPr>
        <w:t>recording, opening of letters and parcels, as well as checking and</w:t>
      </w:r>
      <w:r w:rsidR="009D7BBE">
        <w:rPr>
          <w:rFonts w:asciiTheme="majorHAnsi" w:hAnsiTheme="majorHAnsi"/>
          <w:lang w:val="en-US"/>
        </w:rPr>
        <w:t xml:space="preserve"> </w:t>
      </w:r>
      <w:r w:rsidR="00360361" w:rsidRPr="008A6F10">
        <w:rPr>
          <w:rFonts w:asciiTheme="majorHAnsi" w:hAnsiTheme="majorHAnsi"/>
          <w:lang w:val="en-US"/>
        </w:rPr>
        <w:t xml:space="preserve">recording the contents of electronic or </w:t>
      </w:r>
      <w:r w:rsidR="00CC79F7" w:rsidRPr="008A6F10">
        <w:rPr>
          <w:rFonts w:asciiTheme="majorHAnsi" w:hAnsiTheme="majorHAnsi"/>
          <w:lang w:val="en-US"/>
        </w:rPr>
        <w:t>computerized</w:t>
      </w:r>
      <w:r w:rsidR="00360361" w:rsidRPr="008A6F10">
        <w:rPr>
          <w:rFonts w:asciiTheme="majorHAnsi" w:hAnsiTheme="majorHAnsi"/>
          <w:lang w:val="en-US"/>
        </w:rPr>
        <w:t xml:space="preserve"> communications</w:t>
      </w:r>
      <w:r w:rsidR="009D7BBE">
        <w:rPr>
          <w:rFonts w:asciiTheme="majorHAnsi" w:hAnsiTheme="majorHAnsi"/>
          <w:lang w:val="en-US"/>
        </w:rPr>
        <w:t xml:space="preserve"> </w:t>
      </w:r>
      <w:r w:rsidR="00360361" w:rsidRPr="008A6F10">
        <w:rPr>
          <w:rFonts w:asciiTheme="majorHAnsi" w:hAnsiTheme="majorHAnsi"/>
          <w:lang w:val="en-US"/>
        </w:rPr>
        <w:t>without a judicial warrant, when it aims the protection of national</w:t>
      </w:r>
      <w:r w:rsidR="009D7BBE">
        <w:rPr>
          <w:rFonts w:asciiTheme="majorHAnsi" w:hAnsiTheme="majorHAnsi"/>
          <w:lang w:val="en-US"/>
        </w:rPr>
        <w:t xml:space="preserve"> </w:t>
      </w:r>
      <w:r w:rsidR="00360361" w:rsidRPr="008A6F10">
        <w:rPr>
          <w:rFonts w:asciiTheme="majorHAnsi" w:hAnsiTheme="majorHAnsi"/>
          <w:lang w:val="en-US"/>
        </w:rPr>
        <w:t xml:space="preserve">security. In these cases this activity is </w:t>
      </w:r>
      <w:r w:rsidR="00CC79F7" w:rsidRPr="008A6F10">
        <w:rPr>
          <w:rFonts w:asciiTheme="majorHAnsi" w:hAnsiTheme="majorHAnsi"/>
          <w:lang w:val="en-US"/>
        </w:rPr>
        <w:t>authorized</w:t>
      </w:r>
      <w:r w:rsidR="00360361" w:rsidRPr="008A6F10">
        <w:rPr>
          <w:rFonts w:asciiTheme="majorHAnsi" w:hAnsiTheme="majorHAnsi"/>
          <w:lang w:val="en-US"/>
        </w:rPr>
        <w:t xml:space="preserve"> by the Minister</w:t>
      </w:r>
      <w:r w:rsidR="009D7BBE">
        <w:rPr>
          <w:rFonts w:asciiTheme="majorHAnsi" w:hAnsiTheme="majorHAnsi"/>
          <w:lang w:val="en-US"/>
        </w:rPr>
        <w:t xml:space="preserve"> </w:t>
      </w:r>
      <w:r w:rsidR="00360361" w:rsidRPr="008A6F10">
        <w:rPr>
          <w:rFonts w:asciiTheme="majorHAnsi" w:hAnsiTheme="majorHAnsi"/>
          <w:lang w:val="en-US"/>
        </w:rPr>
        <w:t xml:space="preserve">of Justice. As the Minister </w:t>
      </w:r>
      <w:r w:rsidR="00CC79F7" w:rsidRPr="008A6F10">
        <w:rPr>
          <w:rFonts w:asciiTheme="majorHAnsi" w:hAnsiTheme="majorHAnsi"/>
          <w:lang w:val="en-US"/>
        </w:rPr>
        <w:t>authorizes</w:t>
      </w:r>
      <w:r w:rsidR="00360361" w:rsidRPr="008A6F10">
        <w:rPr>
          <w:rFonts w:asciiTheme="majorHAnsi" w:hAnsiTheme="majorHAnsi"/>
          <w:lang w:val="en-US"/>
        </w:rPr>
        <w:t xml:space="preserve">, not an </w:t>
      </w:r>
      <w:r w:rsidR="00CC79F7" w:rsidRPr="008A6F10">
        <w:rPr>
          <w:rFonts w:asciiTheme="majorHAnsi" w:hAnsiTheme="majorHAnsi"/>
          <w:lang w:val="en-US"/>
        </w:rPr>
        <w:t>independent</w:t>
      </w:r>
      <w:r w:rsidR="009D7BBE">
        <w:rPr>
          <w:rFonts w:asciiTheme="majorHAnsi" w:hAnsiTheme="majorHAnsi"/>
          <w:lang w:val="en-US"/>
        </w:rPr>
        <w:t xml:space="preserve"> </w:t>
      </w:r>
      <w:r w:rsidR="00360361" w:rsidRPr="008A6F10">
        <w:rPr>
          <w:rFonts w:asciiTheme="majorHAnsi" w:hAnsiTheme="majorHAnsi"/>
          <w:lang w:val="en-US"/>
        </w:rPr>
        <w:t>court, it is not ensured that the decision in any specific case as to</w:t>
      </w:r>
      <w:r w:rsidR="009D7BBE">
        <w:rPr>
          <w:rFonts w:asciiTheme="majorHAnsi" w:hAnsiTheme="majorHAnsi"/>
          <w:lang w:val="en-US"/>
        </w:rPr>
        <w:t xml:space="preserve"> </w:t>
      </w:r>
      <w:r w:rsidR="00360361" w:rsidRPr="008A6F10">
        <w:rPr>
          <w:rFonts w:asciiTheme="majorHAnsi" w:hAnsiTheme="majorHAnsi"/>
          <w:lang w:val="en-US"/>
        </w:rPr>
        <w:t>whether surveillance is justified will not be made solely on grounds</w:t>
      </w:r>
      <w:r w:rsidRPr="008A6F10">
        <w:rPr>
          <w:rFonts w:asciiTheme="majorHAnsi" w:hAnsiTheme="majorHAnsi"/>
          <w:lang w:val="en-US"/>
        </w:rPr>
        <w:t xml:space="preserve"> of </w:t>
      </w:r>
      <w:r w:rsidR="00360361" w:rsidRPr="008A6F10">
        <w:rPr>
          <w:rFonts w:asciiTheme="majorHAnsi" w:hAnsiTheme="majorHAnsi"/>
          <w:lang w:val="en-US"/>
        </w:rPr>
        <w:t>arguments in favor of the covert i</w:t>
      </w:r>
      <w:r w:rsidRPr="008A6F10">
        <w:rPr>
          <w:rFonts w:asciiTheme="majorHAnsi" w:hAnsiTheme="majorHAnsi"/>
          <w:lang w:val="en-US"/>
        </w:rPr>
        <w:t xml:space="preserve">ntelligence, but also by taking </w:t>
      </w:r>
      <w:r w:rsidR="00360361" w:rsidRPr="008A6F10">
        <w:rPr>
          <w:rFonts w:asciiTheme="majorHAnsi" w:hAnsiTheme="majorHAnsi"/>
          <w:lang w:val="en-US"/>
        </w:rPr>
        <w:t>into consideration the criteria of respecting privacy.</w:t>
      </w:r>
    </w:p>
    <w:p w:rsidR="00D7117E" w:rsidRPr="008A6F10" w:rsidRDefault="00255E9E" w:rsidP="00FE1B53">
      <w:pPr>
        <w:jc w:val="both"/>
        <w:rPr>
          <w:rFonts w:asciiTheme="majorHAnsi" w:hAnsiTheme="majorHAnsi"/>
          <w:lang w:val="en-US"/>
        </w:rPr>
      </w:pPr>
      <w:r>
        <w:rPr>
          <w:rFonts w:asciiTheme="majorHAnsi" w:hAnsiTheme="majorHAnsi"/>
          <w:lang w:val="en-US"/>
        </w:rPr>
        <w:t xml:space="preserve">In </w:t>
      </w:r>
      <w:r w:rsidR="00360361" w:rsidRPr="008A6F10">
        <w:rPr>
          <w:rFonts w:asciiTheme="majorHAnsi" w:hAnsiTheme="majorHAnsi"/>
          <w:lang w:val="en-US"/>
        </w:rPr>
        <w:t>2014 the Court of Just</w:t>
      </w:r>
      <w:r>
        <w:rPr>
          <w:rFonts w:asciiTheme="majorHAnsi" w:hAnsiTheme="majorHAnsi"/>
          <w:lang w:val="en-US"/>
        </w:rPr>
        <w:t xml:space="preserve">ice of the European Union </w:t>
      </w:r>
      <w:r w:rsidR="00360361" w:rsidRPr="008A6F10">
        <w:rPr>
          <w:rFonts w:asciiTheme="majorHAnsi" w:hAnsiTheme="majorHAnsi"/>
          <w:lang w:val="en-US"/>
        </w:rPr>
        <w:t>declared invalid the Data Retention Directive that unified the timeframe of the retention of selective data by Internet and telephone</w:t>
      </w:r>
      <w:r w:rsidR="009D7BBE">
        <w:rPr>
          <w:rFonts w:asciiTheme="majorHAnsi" w:hAnsiTheme="majorHAnsi"/>
          <w:lang w:val="en-US"/>
        </w:rPr>
        <w:t xml:space="preserve"> </w:t>
      </w:r>
      <w:r w:rsidR="00360361" w:rsidRPr="008A6F10">
        <w:rPr>
          <w:rFonts w:asciiTheme="majorHAnsi" w:hAnsiTheme="majorHAnsi"/>
          <w:lang w:val="en-US"/>
        </w:rPr>
        <w:t>services and determined the accessibility of data by authorities in</w:t>
      </w:r>
      <w:r w:rsidR="009D7BBE">
        <w:rPr>
          <w:rFonts w:asciiTheme="majorHAnsi" w:hAnsiTheme="majorHAnsi"/>
          <w:lang w:val="en-US"/>
        </w:rPr>
        <w:t xml:space="preserve"> </w:t>
      </w:r>
      <w:r w:rsidR="00360361" w:rsidRPr="008A6F10">
        <w:rPr>
          <w:rFonts w:asciiTheme="majorHAnsi" w:hAnsiTheme="majorHAnsi"/>
          <w:lang w:val="en-US"/>
        </w:rPr>
        <w:t>the member states. Despite the annulment of the</w:t>
      </w:r>
      <w:r w:rsidR="009D7BBE">
        <w:rPr>
          <w:rFonts w:asciiTheme="majorHAnsi" w:hAnsiTheme="majorHAnsi"/>
          <w:lang w:val="en-US"/>
        </w:rPr>
        <w:t xml:space="preserve"> </w:t>
      </w:r>
      <w:r w:rsidR="00360361" w:rsidRPr="008A6F10">
        <w:rPr>
          <w:rFonts w:asciiTheme="majorHAnsi" w:hAnsiTheme="majorHAnsi"/>
          <w:lang w:val="en-US"/>
        </w:rPr>
        <w:t>directive, the Hungarian act allowing data retention still remained in</w:t>
      </w:r>
      <w:r w:rsidR="009D7BBE">
        <w:rPr>
          <w:rFonts w:asciiTheme="majorHAnsi" w:hAnsiTheme="majorHAnsi"/>
          <w:lang w:val="en-US"/>
        </w:rPr>
        <w:t xml:space="preserve"> </w:t>
      </w:r>
      <w:r w:rsidR="00D7117E" w:rsidRPr="008A6F10">
        <w:rPr>
          <w:rFonts w:asciiTheme="majorHAnsi" w:hAnsiTheme="majorHAnsi"/>
          <w:lang w:val="en-US"/>
        </w:rPr>
        <w:t>force.</w:t>
      </w:r>
    </w:p>
    <w:p w:rsidR="00CC79F7" w:rsidRPr="008A6F10" w:rsidRDefault="00CC79F7" w:rsidP="00CC79F7">
      <w:pPr>
        <w:pStyle w:val="Listaszerbekezds"/>
        <w:numPr>
          <w:ilvl w:val="0"/>
          <w:numId w:val="21"/>
        </w:numPr>
        <w:ind w:left="709"/>
        <w:rPr>
          <w:rFonts w:asciiTheme="majorHAnsi" w:hAnsiTheme="majorHAnsi"/>
          <w:i/>
          <w:lang w:val="en-US" w:bidi="en-US"/>
        </w:rPr>
      </w:pPr>
      <w:r w:rsidRPr="008A6F10">
        <w:rPr>
          <w:rFonts w:asciiTheme="majorHAnsi" w:hAnsiTheme="majorHAnsi"/>
          <w:i/>
          <w:lang w:val="en-US"/>
        </w:rPr>
        <w:t>Revise the law on National Security Services allowing unjustified and disproportionately intrusive measures within the framework of secret surveillance without a judicial warrant.</w:t>
      </w:r>
    </w:p>
    <w:p w:rsidR="00CC79F7" w:rsidRPr="008A6F10" w:rsidRDefault="00CC79F7" w:rsidP="00CC79F7">
      <w:pPr>
        <w:pStyle w:val="Listaszerbekezds"/>
        <w:numPr>
          <w:ilvl w:val="0"/>
          <w:numId w:val="21"/>
        </w:numPr>
        <w:ind w:left="709"/>
        <w:rPr>
          <w:rFonts w:asciiTheme="majorHAnsi" w:hAnsiTheme="majorHAnsi"/>
          <w:i/>
          <w:lang w:val="en-US" w:bidi="en-US"/>
        </w:rPr>
      </w:pPr>
      <w:r w:rsidRPr="008A6F10">
        <w:rPr>
          <w:rFonts w:asciiTheme="majorHAnsi" w:hAnsiTheme="majorHAnsi"/>
          <w:i/>
          <w:lang w:val="en-US"/>
        </w:rPr>
        <w:t xml:space="preserve">Repeal the unlawful legal provisions on Data Retention (Act C of 2003 on Electronic Communications) in accordance with the ruling of the Court of Justice of the European Union in case C-293/12. </w:t>
      </w:r>
      <w:proofErr w:type="gramStart"/>
      <w:r w:rsidRPr="008A6F10">
        <w:rPr>
          <w:rFonts w:asciiTheme="majorHAnsi" w:hAnsiTheme="majorHAnsi"/>
          <w:i/>
          <w:lang w:val="en-US"/>
        </w:rPr>
        <w:t>and</w:t>
      </w:r>
      <w:proofErr w:type="gramEnd"/>
      <w:r w:rsidRPr="008A6F10">
        <w:rPr>
          <w:rFonts w:asciiTheme="majorHAnsi" w:hAnsiTheme="majorHAnsi"/>
          <w:i/>
          <w:lang w:val="en-US"/>
        </w:rPr>
        <w:t xml:space="preserve"> C-594/12.</w:t>
      </w:r>
    </w:p>
    <w:p w:rsidR="001C1735" w:rsidRPr="008A6F10" w:rsidRDefault="00765E6D" w:rsidP="00D7117E">
      <w:pPr>
        <w:pStyle w:val="Cmsor1"/>
        <w:rPr>
          <w:lang w:val="en-US"/>
        </w:rPr>
      </w:pPr>
      <w:r w:rsidRPr="008A6F10">
        <w:rPr>
          <w:lang w:val="en-US"/>
        </w:rPr>
        <w:t>Access</w:t>
      </w:r>
      <w:r w:rsidR="00D7117E" w:rsidRPr="008A6F10">
        <w:rPr>
          <w:lang w:val="en-US"/>
        </w:rPr>
        <w:t xml:space="preserve"> to information</w:t>
      </w:r>
    </w:p>
    <w:p w:rsidR="001E556D" w:rsidRPr="008A6F10" w:rsidRDefault="001E556D" w:rsidP="00FE1B53">
      <w:pPr>
        <w:jc w:val="both"/>
        <w:rPr>
          <w:rFonts w:asciiTheme="majorHAnsi" w:hAnsiTheme="majorHAnsi"/>
          <w:lang w:val="en-US"/>
        </w:rPr>
      </w:pPr>
      <w:r w:rsidRPr="008A6F10">
        <w:rPr>
          <w:rFonts w:asciiTheme="majorHAnsi" w:hAnsiTheme="majorHAnsi"/>
          <w:lang w:val="en-US"/>
        </w:rPr>
        <w:t xml:space="preserve">Recent amendments to the act on the right to informational self-determination and freedom of information are reacting to specific cases, when the press or NGOs </w:t>
      </w:r>
      <w:r w:rsidR="00765E6D" w:rsidRPr="008A6F10">
        <w:rPr>
          <w:rFonts w:asciiTheme="majorHAnsi" w:hAnsiTheme="majorHAnsi"/>
          <w:lang w:val="en-US"/>
        </w:rPr>
        <w:t>reveal</w:t>
      </w:r>
      <w:r w:rsidRPr="008A6F10">
        <w:rPr>
          <w:rFonts w:asciiTheme="majorHAnsi" w:hAnsiTheme="majorHAnsi"/>
          <w:lang w:val="en-US"/>
        </w:rPr>
        <w:t xml:space="preserve"> corruption, and they are</w:t>
      </w:r>
      <w:r w:rsidRPr="008A6F10">
        <w:rPr>
          <w:rFonts w:asciiTheme="majorHAnsi" w:hAnsiTheme="majorHAnsi"/>
          <w:lang w:val="en-US"/>
        </w:rPr>
        <w:br/>
        <w:t>tailored to the ongoing corruption scandals. The aim of these amendments is to prevent any data from being subject to successful freedom of information</w:t>
      </w:r>
      <w:r w:rsidR="00FE1B53">
        <w:rPr>
          <w:rFonts w:asciiTheme="majorHAnsi" w:hAnsiTheme="majorHAnsi"/>
          <w:lang w:val="en-US"/>
        </w:rPr>
        <w:t xml:space="preserve"> (FOI)</w:t>
      </w:r>
      <w:r w:rsidRPr="008A6F10">
        <w:rPr>
          <w:rFonts w:asciiTheme="majorHAnsi" w:hAnsiTheme="majorHAnsi"/>
          <w:lang w:val="en-US"/>
        </w:rPr>
        <w:t xml:space="preserve"> requests in connection with the controversial tenders, or, to discourage citizens from data requests. According to the most recent amendments, if someone files a FOI request he or she has to pay a fee not only for copying or scanning but also for the workforce of the state agency. Anonymous FOI requests can no longer be</w:t>
      </w:r>
      <w:r w:rsidR="009D7BBE">
        <w:rPr>
          <w:rFonts w:asciiTheme="majorHAnsi" w:hAnsiTheme="majorHAnsi"/>
          <w:lang w:val="en-US"/>
        </w:rPr>
        <w:t xml:space="preserve"> </w:t>
      </w:r>
      <w:r w:rsidRPr="008A6F10">
        <w:rPr>
          <w:rFonts w:asciiTheme="majorHAnsi" w:hAnsiTheme="majorHAnsi"/>
          <w:lang w:val="en-US"/>
        </w:rPr>
        <w:t>submitted. If a FOI is requested repeatedly it can be denied without giving a reason, even if no answer has been given to the previous</w:t>
      </w:r>
      <w:r w:rsidR="009D7BBE">
        <w:rPr>
          <w:rFonts w:asciiTheme="majorHAnsi" w:hAnsiTheme="majorHAnsi"/>
          <w:lang w:val="en-US"/>
        </w:rPr>
        <w:t xml:space="preserve"> </w:t>
      </w:r>
      <w:r w:rsidRPr="008A6F10">
        <w:rPr>
          <w:rFonts w:asciiTheme="majorHAnsi" w:hAnsiTheme="majorHAnsi"/>
          <w:lang w:val="en-US"/>
        </w:rPr>
        <w:t>request. A FOI request can be denied on the basis that the requested documentation is considered to be preparatory for some future hypothetical decision, which is such a broad term that it can be</w:t>
      </w:r>
      <w:r w:rsidR="009D7BBE">
        <w:rPr>
          <w:rFonts w:asciiTheme="majorHAnsi" w:hAnsiTheme="majorHAnsi"/>
          <w:lang w:val="en-US"/>
        </w:rPr>
        <w:t xml:space="preserve"> </w:t>
      </w:r>
      <w:r w:rsidRPr="008A6F10">
        <w:rPr>
          <w:rFonts w:asciiTheme="majorHAnsi" w:hAnsiTheme="majorHAnsi"/>
          <w:lang w:val="en-US"/>
        </w:rPr>
        <w:t>applied to any case.</w:t>
      </w:r>
    </w:p>
    <w:p w:rsidR="00CC79F7" w:rsidRPr="008A6F10" w:rsidRDefault="00CC79F7" w:rsidP="00CC79F7">
      <w:pPr>
        <w:pStyle w:val="Listaszerbekezds"/>
        <w:numPr>
          <w:ilvl w:val="0"/>
          <w:numId w:val="21"/>
        </w:numPr>
        <w:ind w:left="709"/>
        <w:rPr>
          <w:rFonts w:asciiTheme="majorHAnsi" w:hAnsiTheme="majorHAnsi"/>
          <w:i/>
          <w:lang w:val="en-US" w:bidi="en-US"/>
        </w:rPr>
      </w:pPr>
      <w:r w:rsidRPr="008A6F10">
        <w:rPr>
          <w:rFonts w:asciiTheme="majorHAnsi" w:hAnsiTheme="majorHAnsi"/>
          <w:i/>
          <w:lang w:val="en-US"/>
        </w:rPr>
        <w:t>Revise the amendments of laws restricting freedom of information and undermining transparency and accountability (Act CXII of 2011 on the right to informational self-determination and freedom of information, Act XCIC of 2014 on excluding the applicability of Act CXCV of 2011 on the transparency of state aids).</w:t>
      </w:r>
    </w:p>
    <w:p w:rsidR="001C1735" w:rsidRPr="008A6F10" w:rsidRDefault="001C1735" w:rsidP="001C1735">
      <w:pPr>
        <w:rPr>
          <w:rFonts w:asciiTheme="majorHAnsi" w:hAnsiTheme="majorHAnsi"/>
          <w:lang w:val="en-US"/>
        </w:rPr>
      </w:pPr>
    </w:p>
    <w:p w:rsidR="001C1735" w:rsidRPr="008A6F10" w:rsidRDefault="001C1735" w:rsidP="00D7117E">
      <w:pPr>
        <w:pStyle w:val="Cmsor1"/>
        <w:rPr>
          <w:lang w:val="en-US"/>
        </w:rPr>
      </w:pPr>
      <w:r w:rsidRPr="008A6F10">
        <w:rPr>
          <w:lang w:val="en-US"/>
        </w:rPr>
        <w:lastRenderedPageBreak/>
        <w:t>Freedom of speech</w:t>
      </w:r>
    </w:p>
    <w:p w:rsidR="001C1735" w:rsidRPr="008A6F10" w:rsidRDefault="001C1735" w:rsidP="001C1735">
      <w:pPr>
        <w:rPr>
          <w:rFonts w:asciiTheme="majorHAnsi" w:hAnsiTheme="majorHAnsi"/>
          <w:b/>
          <w:lang w:val="en-US"/>
        </w:rPr>
      </w:pPr>
    </w:p>
    <w:p w:rsidR="001C1735" w:rsidRPr="008A6F10" w:rsidRDefault="001C1735" w:rsidP="00FE1B53">
      <w:pPr>
        <w:jc w:val="both"/>
        <w:rPr>
          <w:rFonts w:asciiTheme="majorHAnsi" w:hAnsiTheme="majorHAnsi"/>
          <w:lang w:val="en-US"/>
        </w:rPr>
      </w:pPr>
      <w:r w:rsidRPr="008A6F10">
        <w:rPr>
          <w:rFonts w:asciiTheme="majorHAnsi" w:hAnsiTheme="majorHAnsi"/>
          <w:lang w:val="en-US"/>
        </w:rPr>
        <w:t>Protect</w:t>
      </w:r>
      <w:r w:rsidR="00C11A93" w:rsidRPr="008A6F10">
        <w:rPr>
          <w:rFonts w:asciiTheme="majorHAnsi" w:hAnsiTheme="majorHAnsi"/>
          <w:lang w:val="en-US"/>
        </w:rPr>
        <w:t>ion of sources is guaranteed in the Press Act</w:t>
      </w:r>
      <w:r w:rsidR="00FE1B53">
        <w:rPr>
          <w:rFonts w:asciiTheme="majorHAnsi" w:hAnsiTheme="majorHAnsi"/>
          <w:lang w:val="en-US"/>
        </w:rPr>
        <w:t>.</w:t>
      </w:r>
      <w:r w:rsidR="00C11A93" w:rsidRPr="008A6F10">
        <w:rPr>
          <w:rStyle w:val="Lbjegyzet-hivatkozs"/>
          <w:rFonts w:asciiTheme="majorHAnsi" w:hAnsiTheme="majorHAnsi"/>
          <w:lang w:val="en-US"/>
        </w:rPr>
        <w:footnoteReference w:id="42"/>
      </w:r>
      <w:r w:rsidRPr="008A6F10">
        <w:rPr>
          <w:rFonts w:asciiTheme="majorHAnsi" w:hAnsiTheme="majorHAnsi"/>
          <w:lang w:val="en-US"/>
        </w:rPr>
        <w:t xml:space="preserve"> Accordin</w:t>
      </w:r>
      <w:r w:rsidR="00FE1B53">
        <w:rPr>
          <w:rFonts w:asciiTheme="majorHAnsi" w:hAnsiTheme="majorHAnsi"/>
          <w:lang w:val="en-US"/>
        </w:rPr>
        <w:t xml:space="preserve">g to section 6 (1) of the </w:t>
      </w:r>
      <w:r w:rsidRPr="008A6F10">
        <w:rPr>
          <w:rFonts w:asciiTheme="majorHAnsi" w:hAnsiTheme="majorHAnsi"/>
          <w:lang w:val="en-US"/>
        </w:rPr>
        <w:t xml:space="preserve">Act, journalist have the right not to disclose their sources of information during legal procedures. </w:t>
      </w:r>
      <w:r w:rsidR="00C11A93" w:rsidRPr="008A6F10">
        <w:rPr>
          <w:rFonts w:asciiTheme="majorHAnsi" w:hAnsiTheme="majorHAnsi"/>
          <w:lang w:val="en-US"/>
        </w:rPr>
        <w:t>T</w:t>
      </w:r>
      <w:r w:rsidRPr="008A6F10">
        <w:rPr>
          <w:rFonts w:asciiTheme="majorHAnsi" w:hAnsiTheme="majorHAnsi"/>
          <w:lang w:val="en-US"/>
        </w:rPr>
        <w:t xml:space="preserve">his protection only covers “media content providers and the persons they employ under contract of employment or some other form of employment relationship”. Therefore, freelance journalists and citizen journalists, who are not formally employed by a media content provider will not enjoy the right of protection of sources. The right of source protection shall be expanded to everyone who covers stories of the public interest and who participate public debates. </w:t>
      </w:r>
    </w:p>
    <w:p w:rsidR="00D378C3" w:rsidRPr="00273C0B" w:rsidRDefault="00D378C3" w:rsidP="00273C0B">
      <w:pPr>
        <w:pStyle w:val="Listaszerbekezds"/>
        <w:numPr>
          <w:ilvl w:val="0"/>
          <w:numId w:val="21"/>
        </w:numPr>
        <w:rPr>
          <w:rFonts w:asciiTheme="majorHAnsi" w:hAnsiTheme="majorHAnsi"/>
          <w:i/>
          <w:lang w:val="en-US"/>
        </w:rPr>
      </w:pPr>
      <w:r w:rsidRPr="008A6F10">
        <w:rPr>
          <w:rFonts w:asciiTheme="majorHAnsi" w:hAnsiTheme="majorHAnsi"/>
          <w:i/>
          <w:lang w:val="en-US"/>
        </w:rPr>
        <w:t>Amend the rules of protection of sources so they will not only cover professional journalists, but everyone publishing stories in the public interest.</w:t>
      </w:r>
    </w:p>
    <w:p w:rsidR="001C1735" w:rsidRPr="008A6F10" w:rsidRDefault="001C1735" w:rsidP="001C1735">
      <w:pPr>
        <w:rPr>
          <w:rFonts w:asciiTheme="majorHAnsi" w:hAnsiTheme="majorHAnsi"/>
          <w:b/>
          <w:lang w:val="en-US"/>
        </w:rPr>
      </w:pPr>
    </w:p>
    <w:p w:rsidR="001C1735" w:rsidRPr="008A6F10" w:rsidRDefault="001C1735" w:rsidP="00D7117E">
      <w:pPr>
        <w:pStyle w:val="Cmsor1"/>
        <w:rPr>
          <w:lang w:val="en-US"/>
        </w:rPr>
      </w:pPr>
      <w:r w:rsidRPr="008A6F10">
        <w:rPr>
          <w:lang w:val="en-US"/>
        </w:rPr>
        <w:t>Hate crimes </w:t>
      </w:r>
    </w:p>
    <w:p w:rsidR="00D7117E" w:rsidRPr="008A6F10" w:rsidRDefault="00D7117E" w:rsidP="00D7117E">
      <w:pPr>
        <w:pStyle w:val="Listaszerbekezds"/>
        <w:widowControl w:val="0"/>
        <w:tabs>
          <w:tab w:val="left" w:pos="142"/>
          <w:tab w:val="left" w:pos="220"/>
        </w:tabs>
        <w:autoSpaceDE w:val="0"/>
        <w:autoSpaceDN w:val="0"/>
        <w:adjustRightInd w:val="0"/>
        <w:ind w:left="0"/>
        <w:rPr>
          <w:rFonts w:asciiTheme="majorHAnsi" w:hAnsiTheme="majorHAnsi" w:cs="Arial"/>
          <w:lang w:val="en-US" w:eastAsia="ja-JP"/>
        </w:rPr>
      </w:pPr>
      <w:r w:rsidRPr="008A6F10">
        <w:rPr>
          <w:rFonts w:asciiTheme="majorHAnsi" w:hAnsiTheme="majorHAnsi" w:cs="Arial"/>
          <w:color w:val="1A1A1A"/>
          <w:lang w:val="en-US" w:eastAsia="ja-JP"/>
        </w:rPr>
        <w:t>Polit</w:t>
      </w:r>
      <w:r w:rsidR="00043A6A">
        <w:rPr>
          <w:rFonts w:asciiTheme="majorHAnsi" w:hAnsiTheme="majorHAnsi" w:cs="Arial"/>
          <w:color w:val="1A1A1A"/>
          <w:lang w:val="en-US" w:eastAsia="ja-JP"/>
        </w:rPr>
        <w:t>ical analysts, human rights NGO</w:t>
      </w:r>
      <w:r w:rsidRPr="008A6F10">
        <w:rPr>
          <w:rFonts w:asciiTheme="majorHAnsi" w:hAnsiTheme="majorHAnsi" w:cs="Arial"/>
          <w:color w:val="1A1A1A"/>
          <w:lang w:val="en-US" w:eastAsia="ja-JP"/>
        </w:rPr>
        <w:t xml:space="preserve">s and international </w:t>
      </w:r>
      <w:proofErr w:type="spellStart"/>
      <w:r w:rsidRPr="008A6F10">
        <w:rPr>
          <w:rFonts w:asciiTheme="majorHAnsi" w:hAnsiTheme="majorHAnsi" w:cs="Arial"/>
          <w:color w:val="1A1A1A"/>
          <w:lang w:val="en-US" w:eastAsia="ja-JP"/>
        </w:rPr>
        <w:t>organisations</w:t>
      </w:r>
      <w:proofErr w:type="spellEnd"/>
      <w:r w:rsidRPr="008A6F10">
        <w:rPr>
          <w:rFonts w:asciiTheme="majorHAnsi" w:hAnsiTheme="majorHAnsi" w:cs="Arial"/>
          <w:color w:val="1A1A1A"/>
          <w:lang w:val="en-US" w:eastAsia="ja-JP"/>
        </w:rPr>
        <w:t xml:space="preserve"> have repeatedly </w:t>
      </w:r>
      <w:r w:rsidR="005C6039" w:rsidRPr="008A6F10">
        <w:rPr>
          <w:rFonts w:asciiTheme="majorHAnsi" w:hAnsiTheme="majorHAnsi" w:cs="Arial"/>
          <w:color w:val="1A1A1A"/>
          <w:lang w:val="en-US" w:eastAsia="ja-JP"/>
        </w:rPr>
        <w:t>emphasized</w:t>
      </w:r>
      <w:r w:rsidRPr="008A6F10">
        <w:rPr>
          <w:rFonts w:asciiTheme="majorHAnsi" w:hAnsiTheme="majorHAnsi" w:cs="Arial"/>
          <w:color w:val="1A1A1A"/>
          <w:lang w:val="en-US" w:eastAsia="ja-JP"/>
        </w:rPr>
        <w:t xml:space="preserve"> the government’s responsibility in generating intolerance, in particular in its anti-immigration campaign initiated in 2015 against asylum seekers. The European Parliament pointed out in a Resolution</w:t>
      </w:r>
      <w:r w:rsidRPr="008A6F10">
        <w:rPr>
          <w:rStyle w:val="Lbjegyzet-hivatkozs"/>
          <w:rFonts w:asciiTheme="majorHAnsi" w:hAnsiTheme="majorHAnsi" w:cs="Arial"/>
          <w:color w:val="1A1A1A"/>
          <w:lang w:val="en-US" w:eastAsia="ja-JP"/>
        </w:rPr>
        <w:footnoteReference w:id="43"/>
      </w:r>
      <w:r w:rsidRPr="008A6F10">
        <w:rPr>
          <w:rFonts w:asciiTheme="majorHAnsi" w:hAnsiTheme="majorHAnsi" w:cs="Arial"/>
          <w:color w:val="1A1A1A"/>
          <w:lang w:val="en-US" w:eastAsia="ja-JP"/>
        </w:rPr>
        <w:t xml:space="preserve"> that the launch of a national consultation on im</w:t>
      </w:r>
      <w:r w:rsidR="00255E9E">
        <w:rPr>
          <w:rFonts w:asciiTheme="majorHAnsi" w:hAnsiTheme="majorHAnsi" w:cs="Arial"/>
          <w:color w:val="1A1A1A"/>
          <w:lang w:val="en-US" w:eastAsia="ja-JP"/>
        </w:rPr>
        <w:t xml:space="preserve">migration and terrorism (sic!) </w:t>
      </w:r>
      <w:r w:rsidRPr="008A6F10">
        <w:rPr>
          <w:rFonts w:asciiTheme="majorHAnsi" w:hAnsiTheme="majorHAnsi" w:cs="Arial"/>
          <w:color w:val="1A1A1A"/>
          <w:lang w:val="en-US" w:eastAsia="ja-JP"/>
        </w:rPr>
        <w:t>spread</w:t>
      </w:r>
      <w:r w:rsidR="00043A6A">
        <w:rPr>
          <w:rFonts w:asciiTheme="majorHAnsi" w:hAnsiTheme="majorHAnsi" w:cs="Arial"/>
          <w:color w:val="1A1A1A"/>
          <w:lang w:val="en-US" w:eastAsia="ja-JP"/>
        </w:rPr>
        <w:t>s</w:t>
      </w:r>
      <w:r w:rsidRPr="008A6F10">
        <w:rPr>
          <w:rFonts w:asciiTheme="majorHAnsi" w:hAnsiTheme="majorHAnsi" w:cs="Arial"/>
          <w:color w:val="1A1A1A"/>
          <w:lang w:val="en-US" w:eastAsia="ja-JP"/>
        </w:rPr>
        <w:t xml:space="preserve"> a rhetoric of hatred and prejudice, relyi</w:t>
      </w:r>
      <w:r w:rsidR="00043A6A">
        <w:rPr>
          <w:rFonts w:asciiTheme="majorHAnsi" w:hAnsiTheme="majorHAnsi" w:cs="Arial"/>
          <w:color w:val="1A1A1A"/>
          <w:lang w:val="en-US" w:eastAsia="ja-JP"/>
        </w:rPr>
        <w:t>ng on xenophobic misconceptions</w:t>
      </w:r>
      <w:r w:rsidRPr="008A6F10">
        <w:rPr>
          <w:rFonts w:asciiTheme="majorHAnsi" w:hAnsiTheme="majorHAnsi" w:cs="Arial"/>
          <w:color w:val="1A1A1A"/>
          <w:lang w:val="en-US" w:eastAsia="ja-JP"/>
        </w:rPr>
        <w:t xml:space="preserve"> by </w:t>
      </w:r>
      <w:proofErr w:type="spellStart"/>
      <w:r w:rsidRPr="008A6F10">
        <w:rPr>
          <w:rFonts w:asciiTheme="majorHAnsi" w:hAnsiTheme="majorHAnsi" w:cs="Arial"/>
          <w:color w:val="1A1A1A"/>
          <w:lang w:val="en-US" w:eastAsia="ja-JP"/>
        </w:rPr>
        <w:t>stigmatising</w:t>
      </w:r>
      <w:proofErr w:type="spellEnd"/>
      <w:r w:rsidRPr="008A6F10">
        <w:rPr>
          <w:rFonts w:asciiTheme="majorHAnsi" w:hAnsiTheme="majorHAnsi" w:cs="Arial"/>
          <w:color w:val="1A1A1A"/>
          <w:lang w:val="en-US" w:eastAsia="ja-JP"/>
        </w:rPr>
        <w:t xml:space="preserve"> asylum-seekers as welfare migrants and a national security threat.</w:t>
      </w:r>
    </w:p>
    <w:p w:rsidR="00D7117E" w:rsidRPr="008A6F10" w:rsidRDefault="00D7117E" w:rsidP="00D7117E">
      <w:pPr>
        <w:widowControl w:val="0"/>
        <w:tabs>
          <w:tab w:val="left" w:pos="220"/>
          <w:tab w:val="left" w:pos="720"/>
        </w:tabs>
        <w:autoSpaceDE w:val="0"/>
        <w:autoSpaceDN w:val="0"/>
        <w:adjustRightInd w:val="0"/>
        <w:jc w:val="both"/>
        <w:rPr>
          <w:rFonts w:asciiTheme="majorHAnsi" w:hAnsiTheme="majorHAnsi" w:cs="Arial"/>
          <w:lang w:val="en-US" w:eastAsia="ja-JP"/>
        </w:rPr>
      </w:pPr>
      <w:r w:rsidRPr="008A6F10">
        <w:rPr>
          <w:rFonts w:asciiTheme="majorHAnsi" w:hAnsiTheme="majorHAnsi" w:cs="Arial"/>
          <w:color w:val="1A1A1A"/>
          <w:lang w:val="en-US" w:eastAsia="ja-JP"/>
        </w:rPr>
        <w:t>The Under-secretary of EU affairs in the Ministry of Human Resources indirectly admitted that the billboard campaign, featuring anti-refugee and immigrant slogans, ordered by the government to discourage asylum-seekers from coming into the country was aimed at generating intolerance towards them.</w:t>
      </w:r>
      <w:r w:rsidRPr="008A6F10">
        <w:rPr>
          <w:rStyle w:val="Lbjegyzet-hivatkozs"/>
          <w:rFonts w:asciiTheme="majorHAnsi" w:hAnsiTheme="majorHAnsi" w:cs="Arial"/>
          <w:color w:val="1A1A1A"/>
          <w:lang w:val="en-US" w:eastAsia="ja-JP"/>
        </w:rPr>
        <w:footnoteReference w:id="44"/>
      </w:r>
      <w:r w:rsidRPr="008A6F10">
        <w:rPr>
          <w:rFonts w:asciiTheme="majorHAnsi" w:hAnsiTheme="majorHAnsi" w:cs="Arial"/>
          <w:color w:val="1A1A1A"/>
          <w:lang w:val="en-US" w:eastAsia="ja-JP"/>
        </w:rPr>
        <w:t xml:space="preserve"> The government’s spokesman</w:t>
      </w:r>
      <w:r w:rsidRPr="008A6F10">
        <w:rPr>
          <w:rFonts w:asciiTheme="majorHAnsi" w:hAnsiTheme="majorHAnsi" w:cs="Arial"/>
          <w:color w:val="0E0E0E"/>
          <w:lang w:val="en-US" w:eastAsia="ja-JP"/>
        </w:rPr>
        <w:t xml:space="preserve"> commented the human smuggling operation leading to the suffocation of 71 asylum-seekers in a</w:t>
      </w:r>
      <w:r w:rsidR="00255E9E">
        <w:rPr>
          <w:rFonts w:asciiTheme="majorHAnsi" w:hAnsiTheme="majorHAnsi" w:cs="Arial"/>
          <w:color w:val="0E0E0E"/>
          <w:lang w:val="en-US" w:eastAsia="ja-JP"/>
        </w:rPr>
        <w:t xml:space="preserve"> truck, as “</w:t>
      </w:r>
      <w:r w:rsidRPr="008A6F10">
        <w:rPr>
          <w:rFonts w:asciiTheme="majorHAnsi" w:hAnsiTheme="majorHAnsi" w:cs="Arial"/>
          <w:color w:val="0E0E0E"/>
          <w:lang w:val="en-US" w:eastAsia="ja-JP"/>
        </w:rPr>
        <w:t>a tragedy involving exploi</w:t>
      </w:r>
      <w:r w:rsidR="00255E9E">
        <w:rPr>
          <w:rFonts w:asciiTheme="majorHAnsi" w:hAnsiTheme="majorHAnsi" w:cs="Arial"/>
          <w:color w:val="0E0E0E"/>
          <w:lang w:val="en-US" w:eastAsia="ja-JP"/>
        </w:rPr>
        <w:t>ted and self-victimizing people”</w:t>
      </w:r>
      <w:r w:rsidRPr="008A6F10">
        <w:rPr>
          <w:rFonts w:asciiTheme="majorHAnsi" w:hAnsiTheme="majorHAnsi" w:cs="Arial"/>
          <w:color w:val="0E0E0E"/>
          <w:lang w:val="en-US" w:eastAsia="ja-JP"/>
        </w:rPr>
        <w:t>.</w:t>
      </w:r>
      <w:r w:rsidRPr="008A6F10">
        <w:rPr>
          <w:rStyle w:val="Lbjegyzet-hivatkozs"/>
          <w:rFonts w:asciiTheme="majorHAnsi" w:hAnsiTheme="majorHAnsi" w:cs="Arial"/>
          <w:color w:val="0E0E0E"/>
          <w:lang w:val="en-US" w:eastAsia="ja-JP"/>
        </w:rPr>
        <w:footnoteReference w:id="45"/>
      </w:r>
      <w:r w:rsidRPr="008A6F10">
        <w:rPr>
          <w:rFonts w:asciiTheme="majorHAnsi" w:hAnsiTheme="majorHAnsi" w:cs="Arial"/>
          <w:color w:val="0E0E0E"/>
          <w:lang w:val="en-US" w:eastAsia="ja-JP"/>
        </w:rPr>
        <w:t xml:space="preserve"> </w:t>
      </w:r>
    </w:p>
    <w:p w:rsidR="00D7117E" w:rsidRPr="008A6F10" w:rsidRDefault="00D7117E" w:rsidP="00D7117E">
      <w:pPr>
        <w:widowControl w:val="0"/>
        <w:autoSpaceDE w:val="0"/>
        <w:autoSpaceDN w:val="0"/>
        <w:adjustRightInd w:val="0"/>
        <w:jc w:val="both"/>
        <w:rPr>
          <w:rFonts w:asciiTheme="majorHAnsi" w:hAnsiTheme="majorHAnsi" w:cs="Arial"/>
          <w:lang w:val="en-US" w:eastAsia="ja-JP"/>
        </w:rPr>
      </w:pPr>
      <w:r w:rsidRPr="008A6F10">
        <w:rPr>
          <w:rFonts w:asciiTheme="majorHAnsi" w:hAnsiTheme="majorHAnsi" w:cs="Arial"/>
          <w:color w:val="1A1A1A"/>
          <w:lang w:val="en-US" w:eastAsia="ja-JP"/>
        </w:rPr>
        <w:t>The legal framework would make it possible for the authorities to effectively tackle hate crimes. However, systemic failures can be detected when it comes to the implementation and application of the law in case of hate crimes against vulnerable group members. These systemic failures are: regular under-classification of hate crimes, regular failures on the part of the police to undertake law-enforcement measures and failures of the authorities to take investigative steps.</w:t>
      </w:r>
    </w:p>
    <w:p w:rsidR="00D378C3" w:rsidRPr="008A6F10" w:rsidRDefault="00D378C3" w:rsidP="00D378C3">
      <w:pPr>
        <w:pStyle w:val="Listaszerbekezds"/>
        <w:widowControl w:val="0"/>
        <w:numPr>
          <w:ilvl w:val="0"/>
          <w:numId w:val="21"/>
        </w:numPr>
        <w:autoSpaceDE w:val="0"/>
        <w:autoSpaceDN w:val="0"/>
        <w:adjustRightInd w:val="0"/>
        <w:jc w:val="left"/>
        <w:rPr>
          <w:rFonts w:asciiTheme="majorHAnsi" w:hAnsiTheme="majorHAnsi" w:cs="Arial"/>
          <w:i/>
          <w:color w:val="1A1A1A"/>
          <w:lang w:val="en-US" w:eastAsia="ja-JP"/>
        </w:rPr>
      </w:pPr>
      <w:r w:rsidRPr="008A6F10">
        <w:rPr>
          <w:rFonts w:asciiTheme="majorHAnsi" w:hAnsiTheme="majorHAnsi" w:cs="Arial"/>
          <w:i/>
          <w:color w:val="1A1A1A"/>
          <w:lang w:val="en-US" w:eastAsia="ja-JP"/>
        </w:rPr>
        <w:t>Discontinue with the anti-immigration campaign and take measures to promote tolerance with regards to refugees and migrants.</w:t>
      </w:r>
    </w:p>
    <w:p w:rsidR="00D378C3" w:rsidRPr="008A6F10" w:rsidRDefault="00D378C3" w:rsidP="00D378C3">
      <w:pPr>
        <w:pStyle w:val="Listaszerbekezds"/>
        <w:widowControl w:val="0"/>
        <w:numPr>
          <w:ilvl w:val="0"/>
          <w:numId w:val="21"/>
        </w:numPr>
        <w:tabs>
          <w:tab w:val="left" w:pos="220"/>
          <w:tab w:val="left" w:pos="720"/>
        </w:tabs>
        <w:autoSpaceDE w:val="0"/>
        <w:autoSpaceDN w:val="0"/>
        <w:adjustRightInd w:val="0"/>
        <w:rPr>
          <w:rFonts w:asciiTheme="majorHAnsi" w:hAnsiTheme="majorHAnsi" w:cs="Arial"/>
          <w:i/>
          <w:lang w:val="en-US" w:eastAsia="ja-JP"/>
        </w:rPr>
      </w:pPr>
      <w:r w:rsidRPr="008A6F10">
        <w:rPr>
          <w:rFonts w:asciiTheme="majorHAnsi" w:hAnsiTheme="majorHAnsi" w:cs="Arial"/>
          <w:i/>
          <w:color w:val="1A1A1A"/>
          <w:lang w:val="en-US" w:eastAsia="ja-JP"/>
        </w:rPr>
        <w:t xml:space="preserve">Take effective measures for the police and prosecution to ensure prevention of hate crimes and full implementation of hate crime legislation. Adopt a hate crime investigative protocol (in collaboration with NGOs) and assure law enforcement officers are made aware of its guidelines during their trainings. </w:t>
      </w:r>
    </w:p>
    <w:p w:rsidR="00A313BD" w:rsidRPr="008A6F10" w:rsidRDefault="00A313BD" w:rsidP="00010918">
      <w:pPr>
        <w:rPr>
          <w:rFonts w:asciiTheme="majorHAnsi" w:hAnsiTheme="majorHAnsi"/>
          <w:b/>
          <w:lang w:val="en-US"/>
        </w:rPr>
      </w:pPr>
    </w:p>
    <w:p w:rsidR="00010918" w:rsidRPr="008A6F10" w:rsidRDefault="00010918" w:rsidP="00D7117E">
      <w:pPr>
        <w:pStyle w:val="Cmsor1"/>
        <w:rPr>
          <w:lang w:val="en-US"/>
        </w:rPr>
      </w:pPr>
      <w:r w:rsidRPr="008A6F10">
        <w:rPr>
          <w:lang w:val="en-US"/>
        </w:rPr>
        <w:t>Right to vote</w:t>
      </w:r>
    </w:p>
    <w:p w:rsidR="00010918" w:rsidRPr="00966C4E" w:rsidRDefault="00B8267F" w:rsidP="001C1735">
      <w:pPr>
        <w:pStyle w:val="Listaszerbekezds"/>
        <w:widowControl w:val="0"/>
        <w:numPr>
          <w:ilvl w:val="0"/>
          <w:numId w:val="21"/>
        </w:numPr>
        <w:autoSpaceDE w:val="0"/>
        <w:autoSpaceDN w:val="0"/>
        <w:adjustRightInd w:val="0"/>
        <w:jc w:val="left"/>
        <w:rPr>
          <w:rFonts w:asciiTheme="majorHAnsi" w:hAnsiTheme="majorHAnsi" w:cs="Arial"/>
          <w:i/>
          <w:color w:val="1A1A1A"/>
          <w:lang w:val="en-US" w:eastAsia="ja-JP"/>
        </w:rPr>
      </w:pPr>
      <w:r w:rsidRPr="008A6F10">
        <w:rPr>
          <w:rFonts w:asciiTheme="majorHAnsi" w:hAnsiTheme="majorHAnsi"/>
          <w:i/>
          <w:lang w:val="en-US"/>
        </w:rPr>
        <w:t xml:space="preserve">Allow voters registered as minority voters to choose between parties and minority lists on </w:t>
      </w:r>
      <w:proofErr w:type="gramStart"/>
      <w:r w:rsidRPr="008A6F10">
        <w:rPr>
          <w:rFonts w:asciiTheme="majorHAnsi" w:hAnsiTheme="majorHAnsi"/>
          <w:i/>
          <w:lang w:val="en-US"/>
        </w:rPr>
        <w:t>election day</w:t>
      </w:r>
      <w:proofErr w:type="gramEnd"/>
      <w:r w:rsidRPr="008A6F10">
        <w:rPr>
          <w:rFonts w:asciiTheme="majorHAnsi" w:hAnsiTheme="majorHAnsi"/>
          <w:i/>
          <w:lang w:val="en-US"/>
        </w:rPr>
        <w:t>. Allow minority organizations to set up national minority lists which compete with each other.</w:t>
      </w:r>
    </w:p>
    <w:p w:rsidR="00966C4E" w:rsidRPr="00966C4E" w:rsidRDefault="00966C4E" w:rsidP="00966C4E">
      <w:pPr>
        <w:pStyle w:val="Listaszerbekezds"/>
        <w:widowControl w:val="0"/>
        <w:numPr>
          <w:ilvl w:val="0"/>
          <w:numId w:val="21"/>
        </w:numPr>
        <w:autoSpaceDE w:val="0"/>
        <w:autoSpaceDN w:val="0"/>
        <w:adjustRightInd w:val="0"/>
        <w:jc w:val="left"/>
        <w:rPr>
          <w:rFonts w:asciiTheme="majorHAnsi" w:hAnsiTheme="majorHAnsi" w:cs="Arial"/>
          <w:i/>
          <w:color w:val="1A1A1A"/>
          <w:lang w:val="en-US" w:eastAsia="ja-JP"/>
        </w:rPr>
      </w:pPr>
      <w:r>
        <w:rPr>
          <w:rFonts w:asciiTheme="majorHAnsi" w:hAnsiTheme="majorHAnsi" w:cs="Arial"/>
          <w:i/>
          <w:color w:val="1A1A1A"/>
          <w:lang w:val="en-US" w:eastAsia="ja-JP"/>
        </w:rPr>
        <w:t>Abolish restrictions on the right to vote for all persons with disabilities, including those who have been placed under plenary or partial guardianship.</w:t>
      </w:r>
    </w:p>
    <w:sectPr w:rsidR="00966C4E" w:rsidRPr="00966C4E" w:rsidSect="0022484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86A" w:rsidRDefault="00DE686A" w:rsidP="009973FD">
      <w:pPr>
        <w:spacing w:after="0" w:line="240" w:lineRule="auto"/>
      </w:pPr>
      <w:r>
        <w:separator/>
      </w:r>
    </w:p>
  </w:endnote>
  <w:endnote w:type="continuationSeparator" w:id="0">
    <w:p w:rsidR="00DE686A" w:rsidRDefault="00DE686A" w:rsidP="009973FD">
      <w:pPr>
        <w:spacing w:after="0" w:line="240" w:lineRule="auto"/>
      </w:pPr>
      <w:r>
        <w:continuationSeparator/>
      </w:r>
    </w:p>
  </w:endnote>
  <w:endnote w:type="continuationNotice" w:id="1">
    <w:p w:rsidR="00DE686A" w:rsidRDefault="00DE68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73819"/>
      <w:docPartObj>
        <w:docPartGallery w:val="Page Numbers (Bottom of Page)"/>
        <w:docPartUnique/>
      </w:docPartObj>
    </w:sdtPr>
    <w:sdtEndPr/>
    <w:sdtContent>
      <w:p w:rsidR="005A44A8" w:rsidRDefault="00A45790">
        <w:pPr>
          <w:pStyle w:val="llb"/>
          <w:jc w:val="center"/>
        </w:pPr>
        <w:r>
          <w:fldChar w:fldCharType="begin"/>
        </w:r>
        <w:r w:rsidR="005A44A8">
          <w:instrText>PAGE   \* MERGEFORMAT</w:instrText>
        </w:r>
        <w:r>
          <w:fldChar w:fldCharType="separate"/>
        </w:r>
        <w:r w:rsidR="00997554">
          <w:rPr>
            <w:noProof/>
          </w:rPr>
          <w:t>18</w:t>
        </w:r>
        <w:r>
          <w:fldChar w:fldCharType="end"/>
        </w:r>
      </w:p>
    </w:sdtContent>
  </w:sdt>
  <w:p w:rsidR="005A44A8" w:rsidRDefault="005A44A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86A" w:rsidRDefault="00DE686A" w:rsidP="009973FD">
      <w:pPr>
        <w:spacing w:after="0" w:line="240" w:lineRule="auto"/>
      </w:pPr>
      <w:r>
        <w:separator/>
      </w:r>
    </w:p>
  </w:footnote>
  <w:footnote w:type="continuationSeparator" w:id="0">
    <w:p w:rsidR="00DE686A" w:rsidRDefault="00DE686A" w:rsidP="009973FD">
      <w:pPr>
        <w:spacing w:after="0" w:line="240" w:lineRule="auto"/>
      </w:pPr>
      <w:r>
        <w:continuationSeparator/>
      </w:r>
    </w:p>
  </w:footnote>
  <w:footnote w:type="continuationNotice" w:id="1">
    <w:p w:rsidR="00DE686A" w:rsidRDefault="00DE686A">
      <w:pPr>
        <w:spacing w:after="0" w:line="240" w:lineRule="auto"/>
      </w:pPr>
    </w:p>
  </w:footnote>
  <w:footnote w:id="2">
    <w:p w:rsidR="005A44A8" w:rsidRDefault="005A44A8">
      <w:pPr>
        <w:pStyle w:val="Lbjegyzetszveg"/>
      </w:pPr>
      <w:r>
        <w:rPr>
          <w:rStyle w:val="Lbjegyzet-hivatkozs"/>
        </w:rPr>
        <w:footnoteRef/>
      </w:r>
      <w:hyperlink r:id="rId1" w:history="1">
        <w:r w:rsidRPr="00855973">
          <w:rPr>
            <w:rStyle w:val="Hiperhivatkozs"/>
          </w:rPr>
          <w:t>http://helsinki.hu/wpcontent/uploads/Comments_on_the_Process_of_Framing_the_New_Constitution_of_Hungary_EKI_HCLU_HHC.pdf</w:t>
        </w:r>
      </w:hyperlink>
      <w:r>
        <w:t xml:space="preserve">, </w:t>
      </w:r>
      <w:hyperlink r:id="rId2" w:history="1">
        <w:r w:rsidRPr="00855973">
          <w:rPr>
            <w:rStyle w:val="Hiperhivatkozs"/>
          </w:rPr>
          <w:t>http://helsinki.hu/wpcontent/uploads/Hungarian_NGOs_assessing_the_draft_Constitution_of_Hungary_201104141.pdf</w:t>
        </w:r>
      </w:hyperlink>
    </w:p>
  </w:footnote>
  <w:footnote w:id="3">
    <w:p w:rsidR="005A44A8" w:rsidRDefault="005A44A8">
      <w:pPr>
        <w:pStyle w:val="Lbjegyzetszveg"/>
      </w:pPr>
      <w:r>
        <w:rPr>
          <w:rStyle w:val="Lbjegyzet-hivatkozs"/>
        </w:rPr>
        <w:footnoteRef/>
      </w:r>
      <w:hyperlink r:id="rId3" w:history="1">
        <w:r w:rsidRPr="00DD1BBE">
          <w:rPr>
            <w:rStyle w:val="Hiperhivatkozs"/>
          </w:rPr>
          <w:t>http://helsinki.hu/wp-content/uploads/Hungary_fact_sheets_20140921.pdf</w:t>
        </w:r>
      </w:hyperlink>
    </w:p>
  </w:footnote>
  <w:footnote w:id="4">
    <w:p w:rsidR="005376DA" w:rsidRDefault="005376DA" w:rsidP="005376DA">
      <w:pPr>
        <w:pStyle w:val="Lbjegyzetszveg"/>
      </w:pPr>
      <w:r>
        <w:rPr>
          <w:rStyle w:val="Lbjegyzet-hivatkozs"/>
        </w:rPr>
        <w:footnoteRef/>
      </w:r>
      <w:r w:rsidRPr="00894046">
        <w:rPr>
          <w:lang w:val="en-US"/>
        </w:rPr>
        <w:t>elected with a two-third m</w:t>
      </w:r>
      <w:r>
        <w:rPr>
          <w:lang w:val="en-US"/>
        </w:rPr>
        <w:t>ajority vote in the Parliament</w:t>
      </w:r>
    </w:p>
  </w:footnote>
  <w:footnote w:id="5">
    <w:p w:rsidR="005376DA" w:rsidRDefault="005376DA">
      <w:pPr>
        <w:pStyle w:val="Lbjegyzetszveg"/>
      </w:pPr>
      <w:r>
        <w:rPr>
          <w:rStyle w:val="Lbjegyzet-hivatkozs"/>
        </w:rPr>
        <w:footnoteRef/>
      </w:r>
      <w:r>
        <w:t xml:space="preserve"> </w:t>
      </w:r>
      <w:r w:rsidRPr="008A6F10">
        <w:rPr>
          <w:rFonts w:asciiTheme="majorHAnsi" w:hAnsiTheme="majorHAnsi"/>
          <w:lang w:val="en-US"/>
        </w:rPr>
        <w:t>According to the</w:t>
      </w:r>
      <w:r>
        <w:rPr>
          <w:rFonts w:asciiTheme="majorHAnsi" w:hAnsiTheme="majorHAnsi"/>
          <w:lang w:val="en-US"/>
        </w:rPr>
        <w:t xml:space="preserve"> former Constitution</w:t>
      </w:r>
      <w:r w:rsidRPr="008A6F10">
        <w:rPr>
          <w:rFonts w:asciiTheme="majorHAnsi" w:hAnsiTheme="majorHAnsi"/>
          <w:lang w:val="en-US"/>
        </w:rPr>
        <w:t>, members of the</w:t>
      </w:r>
      <w:r>
        <w:rPr>
          <w:rFonts w:asciiTheme="majorHAnsi" w:hAnsiTheme="majorHAnsi"/>
          <w:lang w:val="en-US"/>
        </w:rPr>
        <w:t xml:space="preserve"> </w:t>
      </w:r>
      <w:r w:rsidR="00056B92">
        <w:rPr>
          <w:rFonts w:asciiTheme="majorHAnsi" w:hAnsiTheme="majorHAnsi"/>
          <w:lang w:val="en-US"/>
        </w:rPr>
        <w:t xml:space="preserve">Constitutional Court </w:t>
      </w:r>
      <w:r w:rsidRPr="008A6F10">
        <w:rPr>
          <w:rFonts w:asciiTheme="majorHAnsi" w:hAnsiTheme="majorHAnsi"/>
          <w:lang w:val="en-US"/>
        </w:rPr>
        <w:t>were nominated by a committee consisting of one member of each parliamentary group. As a result, the opposition an</w:t>
      </w:r>
      <w:r>
        <w:rPr>
          <w:rFonts w:asciiTheme="majorHAnsi" w:hAnsiTheme="majorHAnsi"/>
          <w:lang w:val="en-US"/>
        </w:rPr>
        <w:t xml:space="preserve">d the governing majority </w:t>
      </w:r>
      <w:r w:rsidRPr="008A6F10">
        <w:rPr>
          <w:rFonts w:asciiTheme="majorHAnsi" w:hAnsiTheme="majorHAnsi"/>
          <w:lang w:val="en-US"/>
        </w:rPr>
        <w:t xml:space="preserve">had to agree on </w:t>
      </w:r>
      <w:r>
        <w:rPr>
          <w:rFonts w:asciiTheme="majorHAnsi" w:hAnsiTheme="majorHAnsi"/>
          <w:lang w:val="en-US"/>
        </w:rPr>
        <w:t>the nomination. From 2010, members of the CC</w:t>
      </w:r>
      <w:r w:rsidRPr="008A6F10">
        <w:rPr>
          <w:rFonts w:asciiTheme="majorHAnsi" w:hAnsiTheme="majorHAnsi"/>
          <w:lang w:val="en-US"/>
        </w:rPr>
        <w:t xml:space="preserve"> sha</w:t>
      </w:r>
      <w:r>
        <w:rPr>
          <w:rFonts w:asciiTheme="majorHAnsi" w:hAnsiTheme="majorHAnsi"/>
          <w:lang w:val="en-US"/>
        </w:rPr>
        <w:t xml:space="preserve">ll be nominated by a </w:t>
      </w:r>
      <w:r w:rsidRPr="008A6F10">
        <w:rPr>
          <w:rFonts w:asciiTheme="majorHAnsi" w:hAnsiTheme="majorHAnsi"/>
          <w:lang w:val="en-US"/>
        </w:rPr>
        <w:t>committee consisting of members of the parliamentary groups of parti</w:t>
      </w:r>
      <w:r>
        <w:rPr>
          <w:rFonts w:asciiTheme="majorHAnsi" w:hAnsiTheme="majorHAnsi"/>
          <w:lang w:val="en-US"/>
        </w:rPr>
        <w:t>es</w:t>
      </w:r>
      <w:r w:rsidRPr="008A6F10">
        <w:rPr>
          <w:rFonts w:asciiTheme="majorHAnsi" w:hAnsiTheme="majorHAnsi"/>
          <w:lang w:val="en-US"/>
        </w:rPr>
        <w:t>; and the number of members per parliamentary group on the nominating committee shall be proportionate to the parliamentary group’s size in relation to</w:t>
      </w:r>
      <w:r>
        <w:rPr>
          <w:rFonts w:asciiTheme="majorHAnsi" w:hAnsiTheme="majorHAnsi"/>
          <w:lang w:val="en-US"/>
        </w:rPr>
        <w:t xml:space="preserve"> the total number of MPs</w:t>
      </w:r>
      <w:r w:rsidRPr="008A6F10">
        <w:rPr>
          <w:rFonts w:asciiTheme="majorHAnsi" w:hAnsiTheme="majorHAnsi"/>
          <w:lang w:val="en-US"/>
        </w:rPr>
        <w:t xml:space="preserve">. Hence, the governing party has the majority necessary </w:t>
      </w:r>
      <w:r>
        <w:rPr>
          <w:rFonts w:asciiTheme="majorHAnsi" w:hAnsiTheme="majorHAnsi"/>
          <w:lang w:val="en-US"/>
        </w:rPr>
        <w:t xml:space="preserve">for nominating a CC judge, without a </w:t>
      </w:r>
      <w:r w:rsidRPr="008A6F10">
        <w:rPr>
          <w:rFonts w:asciiTheme="majorHAnsi" w:hAnsiTheme="majorHAnsi"/>
          <w:lang w:val="en-US"/>
        </w:rPr>
        <w:t>need to reac</w:t>
      </w:r>
      <w:r>
        <w:rPr>
          <w:rFonts w:asciiTheme="majorHAnsi" w:hAnsiTheme="majorHAnsi"/>
          <w:lang w:val="en-US"/>
        </w:rPr>
        <w:t>h a consensus with the opposition</w:t>
      </w:r>
      <w:r w:rsidRPr="008A6F10">
        <w:rPr>
          <w:rFonts w:asciiTheme="majorHAnsi" w:hAnsiTheme="majorHAnsi"/>
          <w:lang w:val="en-US"/>
        </w:rPr>
        <w:t>.</w:t>
      </w:r>
    </w:p>
  </w:footnote>
  <w:footnote w:id="6">
    <w:p w:rsidR="00943B29" w:rsidRPr="002367B1" w:rsidRDefault="005A44A8">
      <w:pPr>
        <w:pStyle w:val="Lbjegyzetszveg"/>
        <w:rPr>
          <w:lang w:val="en-GB"/>
        </w:rPr>
      </w:pPr>
      <w:r w:rsidRPr="002367B1">
        <w:rPr>
          <w:rStyle w:val="Lbjegyzet-hivatkozs"/>
          <w:lang w:val="en-GB"/>
        </w:rPr>
        <w:footnoteRef/>
      </w:r>
      <w:r w:rsidRPr="002367B1">
        <w:rPr>
          <w:lang w:val="en-GB"/>
        </w:rPr>
        <w:t xml:space="preserve"> For </w:t>
      </w:r>
      <w:r>
        <w:rPr>
          <w:lang w:val="en-GB"/>
        </w:rPr>
        <w:t>t</w:t>
      </w:r>
      <w:r w:rsidRPr="002367B1">
        <w:rPr>
          <w:lang w:val="en-GB"/>
        </w:rPr>
        <w:t>he executi</w:t>
      </w:r>
      <w:r>
        <w:rPr>
          <w:lang w:val="en-GB"/>
        </w:rPr>
        <w:t>ve summary of the respective rese</w:t>
      </w:r>
      <w:r w:rsidRPr="002367B1">
        <w:rPr>
          <w:lang w:val="en-GB"/>
        </w:rPr>
        <w:t>a</w:t>
      </w:r>
      <w:r>
        <w:rPr>
          <w:lang w:val="en-GB"/>
        </w:rPr>
        <w:t>r</w:t>
      </w:r>
      <w:r w:rsidRPr="002367B1">
        <w:rPr>
          <w:lang w:val="en-GB"/>
        </w:rPr>
        <w:t>ch</w:t>
      </w:r>
      <w:r>
        <w:rPr>
          <w:lang w:val="en-GB"/>
        </w:rPr>
        <w:t xml:space="preserve"> report</w:t>
      </w:r>
      <w:r w:rsidRPr="002367B1">
        <w:rPr>
          <w:lang w:val="en-GB"/>
        </w:rPr>
        <w:t xml:space="preserve">, see: </w:t>
      </w:r>
      <w:hyperlink r:id="rId4" w:history="1">
        <w:r w:rsidR="00943B29" w:rsidRPr="008252EB">
          <w:rPr>
            <w:rStyle w:val="Hiperhivatkozs"/>
            <w:lang w:val="en-GB"/>
          </w:rPr>
          <w:t>http://tasz.hu/files/tasz/imce/2009/ekint-hclu-hhc_analysing_cc_judges_performances_2015.pdf</w:t>
        </w:r>
      </w:hyperlink>
      <w:r w:rsidRPr="002367B1">
        <w:rPr>
          <w:lang w:val="en-GB"/>
        </w:rPr>
        <w:t>.</w:t>
      </w:r>
    </w:p>
  </w:footnote>
  <w:footnote w:id="7">
    <w:p w:rsidR="005A44A8" w:rsidRDefault="005A44A8">
      <w:pPr>
        <w:pStyle w:val="Lbjegyzetszveg"/>
      </w:pPr>
      <w:r>
        <w:rPr>
          <w:rStyle w:val="Lbjegyzet-hivatkozs"/>
        </w:rPr>
        <w:footnoteRef/>
      </w:r>
      <w:r>
        <w:rPr>
          <w:rFonts w:cs="Tahoma"/>
          <w:sz w:val="16"/>
          <w:szCs w:val="16"/>
          <w:lang w:val="en-GB"/>
        </w:rPr>
        <w:t xml:space="preserve">For examples of how </w:t>
      </w:r>
      <w:r w:rsidRPr="002367B1">
        <w:rPr>
          <w:rFonts w:cs="Tahoma"/>
          <w:sz w:val="16"/>
          <w:szCs w:val="16"/>
          <w:lang w:val="en-GB"/>
        </w:rPr>
        <w:t xml:space="preserve">the Fourth Amendment to the Fundamental Law overruled decisions of the Constitutional Court, see: </w:t>
      </w:r>
      <w:hyperlink r:id="rId5" w:history="1">
        <w:r w:rsidRPr="00DD1BBE">
          <w:rPr>
            <w:rStyle w:val="Hiperhivatkozs"/>
          </w:rPr>
          <w:t>http://helsinki.hu/wp-content/uploads/Hungary_fact_sheets_20140921.pdf</w:t>
        </w:r>
      </w:hyperlink>
    </w:p>
  </w:footnote>
  <w:footnote w:id="8">
    <w:p w:rsidR="005A44A8" w:rsidRDefault="005A44A8" w:rsidP="00296E10">
      <w:pPr>
        <w:pStyle w:val="Lbjegyzetszveg"/>
      </w:pPr>
      <w:r>
        <w:rPr>
          <w:rStyle w:val="Lbjegyzet-hivatkozs"/>
        </w:rPr>
        <w:footnoteRef/>
      </w:r>
      <w:hyperlink r:id="rId6" w:history="1">
        <w:r w:rsidRPr="00DD1BBE">
          <w:rPr>
            <w:rStyle w:val="Hiperhivatkozs"/>
          </w:rPr>
          <w:t>http://helsinki.hu/wp-content/uploads/Main-concerns-regarding-the-Fourth-Amendment-to-the-Fundamental-Law_SUMMARY.pdf</w:t>
        </w:r>
      </w:hyperlink>
    </w:p>
  </w:footnote>
  <w:footnote w:id="9">
    <w:p w:rsidR="005A44A8" w:rsidRDefault="005A44A8">
      <w:pPr>
        <w:pStyle w:val="Lbjegyzetszveg"/>
      </w:pPr>
      <w:r>
        <w:rPr>
          <w:rStyle w:val="Lbjegyzet-hivatkozs"/>
        </w:rPr>
        <w:footnoteRef/>
      </w:r>
      <w:hyperlink r:id="rId7" w:history="1">
        <w:r w:rsidRPr="00DD1BBE">
          <w:rPr>
            <w:rStyle w:val="Hiperhivatkozs"/>
          </w:rPr>
          <w:t>http://helsinki.hu/wp-content/uploads/Hungary_fact_sheets_20140921.pdf</w:t>
        </w:r>
      </w:hyperlink>
    </w:p>
  </w:footnote>
  <w:footnote w:id="10">
    <w:p w:rsidR="00ED5363" w:rsidRDefault="00ED5363">
      <w:pPr>
        <w:pStyle w:val="Lbjegyzetszveg"/>
      </w:pPr>
      <w:r>
        <w:rPr>
          <w:rStyle w:val="Lbjegyzet-hivatkozs"/>
        </w:rPr>
        <w:footnoteRef/>
      </w:r>
      <w:r w:rsidRPr="00ED5363">
        <w:rPr>
          <w:lang w:val="en-US"/>
        </w:rPr>
        <w:t>e.g. the NJO President’s rights concerning call for applications to judicial positions remained excessive</w:t>
      </w:r>
    </w:p>
  </w:footnote>
  <w:footnote w:id="11">
    <w:p w:rsidR="005212F6" w:rsidRDefault="005212F6">
      <w:pPr>
        <w:pStyle w:val="Lbjegyzetszveg"/>
      </w:pPr>
      <w:r>
        <w:rPr>
          <w:rStyle w:val="Lbjegyzet-hivatkozs"/>
        </w:rPr>
        <w:footnoteRef/>
      </w:r>
      <w:r w:rsidRPr="005212F6">
        <w:rPr>
          <w:lang w:val="en-US"/>
        </w:rPr>
        <w:t>as put by the Venice Commission</w:t>
      </w:r>
    </w:p>
  </w:footnote>
  <w:footnote w:id="12">
    <w:p w:rsidR="005A44A8" w:rsidRDefault="005A44A8">
      <w:pPr>
        <w:pStyle w:val="Lbjegyzetszveg"/>
      </w:pPr>
      <w:r>
        <w:rPr>
          <w:rStyle w:val="Lbjegyzet-hivatkozs"/>
        </w:rPr>
        <w:footnoteRef/>
      </w:r>
      <w:hyperlink r:id="rId8" w:history="1">
        <w:r w:rsidRPr="00DD1BBE">
          <w:rPr>
            <w:rStyle w:val="Hiperhivatkozs"/>
          </w:rPr>
          <w:t>http://helsinki.hu/wp-content/uploads/Hungary_fact_sheets_20140921.pdf</w:t>
        </w:r>
      </w:hyperlink>
    </w:p>
  </w:footnote>
  <w:footnote w:id="13">
    <w:p w:rsidR="005A44A8" w:rsidRDefault="005A44A8">
      <w:pPr>
        <w:pStyle w:val="Lbjegyzetszveg"/>
      </w:pPr>
      <w:r>
        <w:rPr>
          <w:rStyle w:val="Lbjegyzet-hivatkozs"/>
        </w:rPr>
        <w:footnoteRef/>
      </w:r>
      <w:r w:rsidRPr="00CC79F7">
        <w:rPr>
          <w:rFonts w:asciiTheme="majorHAnsi" w:hAnsiTheme="majorHAnsi"/>
          <w:lang w:val="en-US"/>
        </w:rPr>
        <w:t>The greatest difference between the safeguards of independence of the two institutions is manifested in the manner of formation of their mandates: the Ombudsperson was elected by the Parliament for a six-year period, while the head of the new authority is appointed exclusively by the Prime Minister for a nine-year period.</w:t>
      </w:r>
    </w:p>
  </w:footnote>
  <w:footnote w:id="14">
    <w:p w:rsidR="005A44A8" w:rsidRPr="00814598" w:rsidRDefault="005A44A8" w:rsidP="00940FB5">
      <w:pPr>
        <w:pStyle w:val="Lbjegyzetszveg"/>
        <w:rPr>
          <w:rFonts w:asciiTheme="majorHAnsi" w:hAnsiTheme="majorHAnsi"/>
        </w:rPr>
      </w:pPr>
      <w:r w:rsidRPr="00814598">
        <w:rPr>
          <w:rStyle w:val="Lbjegyzet-hivatkozs"/>
          <w:rFonts w:asciiTheme="majorHAnsi" w:hAnsiTheme="majorHAnsi"/>
        </w:rPr>
        <w:footnoteRef/>
      </w:r>
      <w:hyperlink r:id="rId9" w:history="1">
        <w:r w:rsidRPr="00814598">
          <w:rPr>
            <w:rStyle w:val="Hiperhivatkozs"/>
            <w:rFonts w:asciiTheme="majorHAnsi" w:hAnsiTheme="majorHAnsi"/>
          </w:rPr>
          <w:t>http://helsinki.hu/wp-content/uploads/Timeline_of_gov_attacks_against_HU_NGOs_short_12082015.pdf</w:t>
        </w:r>
      </w:hyperlink>
    </w:p>
  </w:footnote>
  <w:footnote w:id="15">
    <w:p w:rsidR="005A44A8" w:rsidRDefault="005A44A8">
      <w:pPr>
        <w:pStyle w:val="Lbjegyzetszveg"/>
      </w:pPr>
      <w:r>
        <w:rPr>
          <w:rStyle w:val="Lbjegyzet-hivatkozs"/>
        </w:rPr>
        <w:footnoteRef/>
      </w:r>
      <w:r>
        <w:rPr>
          <w:lang w:val="en-US"/>
        </w:rPr>
        <w:t>T</w:t>
      </w:r>
      <w:r w:rsidRPr="005466C0">
        <w:rPr>
          <w:lang w:val="en-US"/>
        </w:rPr>
        <w:t>o compare, se</w:t>
      </w:r>
      <w:r>
        <w:rPr>
          <w:lang w:val="en-US"/>
        </w:rPr>
        <w:t>e other countries of the region: Czech Republic:</w:t>
      </w:r>
      <w:r w:rsidRPr="005466C0">
        <w:rPr>
          <w:lang w:val="en-US"/>
        </w:rPr>
        <w:t xml:space="preserve"> +0.</w:t>
      </w:r>
      <w:r>
        <w:rPr>
          <w:lang w:val="en-US"/>
        </w:rPr>
        <w:t>9%, Slovakia: -0.2%, Poland: -12%, Slovenia: +8.6%.</w:t>
      </w:r>
    </w:p>
  </w:footnote>
  <w:footnote w:id="16">
    <w:p w:rsidR="005A44A8" w:rsidRPr="00940FB5" w:rsidRDefault="005A44A8" w:rsidP="00940FB5">
      <w:pPr>
        <w:shd w:val="clear" w:color="auto" w:fill="FFFFFF"/>
        <w:spacing w:after="0" w:line="240" w:lineRule="auto"/>
        <w:rPr>
          <w:rFonts w:asciiTheme="majorHAnsi" w:eastAsia="Times New Roman" w:hAnsiTheme="majorHAnsi" w:cs="Arial"/>
          <w:color w:val="222222"/>
          <w:sz w:val="20"/>
          <w:szCs w:val="20"/>
          <w:lang w:eastAsia="hu-HU"/>
        </w:rPr>
      </w:pPr>
      <w:r w:rsidRPr="00814598">
        <w:rPr>
          <w:rStyle w:val="Lbjegyzet-hivatkozs"/>
          <w:rFonts w:asciiTheme="majorHAnsi" w:hAnsiTheme="majorHAnsi"/>
          <w:sz w:val="20"/>
          <w:szCs w:val="20"/>
        </w:rPr>
        <w:footnoteRef/>
      </w:r>
      <w:hyperlink r:id="rId10" w:tgtFrame="_blank" w:history="1">
        <w:r w:rsidRPr="00814598">
          <w:rPr>
            <w:rFonts w:asciiTheme="majorHAnsi" w:eastAsia="Times New Roman" w:hAnsiTheme="majorHAnsi" w:cs="Arial"/>
            <w:color w:val="1155CC"/>
            <w:sz w:val="20"/>
            <w:szCs w:val="20"/>
            <w:u w:val="single"/>
            <w:lang w:eastAsia="hu-HU"/>
          </w:rPr>
          <w:t>http://www.oecd-ilibrary.org/social-issues-migration-health/society-at-a-glance-2014_soc_glance-2014-en</w:t>
        </w:r>
      </w:hyperlink>
    </w:p>
  </w:footnote>
  <w:footnote w:id="17">
    <w:p w:rsidR="005A44A8" w:rsidRDefault="005A44A8" w:rsidP="00814598">
      <w:pPr>
        <w:pStyle w:val="Lbjegyzetszveg"/>
      </w:pPr>
      <w:r>
        <w:rPr>
          <w:rStyle w:val="Lbjegyzet-hivatkozs"/>
        </w:rPr>
        <w:footnoteRef/>
      </w:r>
      <w:hyperlink r:id="rId11" w:tgtFrame="_blank" w:history="1">
        <w:r w:rsidRPr="001305D6">
          <w:rPr>
            <w:rFonts w:ascii="Calibri" w:eastAsia="Times New Roman" w:hAnsi="Calibri" w:cs="Arial"/>
            <w:color w:val="1155CC"/>
            <w:u w:val="single"/>
            <w:lang w:eastAsia="hu-HU"/>
          </w:rPr>
          <w:t>http://www.ohchr.org/EN/NewsEvents/Pages/DisplayNews.aspx?NewsID=13206&amp;LangID=E</w:t>
        </w:r>
      </w:hyperlink>
    </w:p>
  </w:footnote>
  <w:footnote w:id="18">
    <w:p w:rsidR="005A44A8" w:rsidRPr="001305D6" w:rsidRDefault="005A44A8" w:rsidP="00814598">
      <w:pPr>
        <w:shd w:val="clear" w:color="auto" w:fill="FFFFFF"/>
        <w:spacing w:after="100" w:afterAutospacing="1" w:line="240" w:lineRule="auto"/>
        <w:rPr>
          <w:rFonts w:asciiTheme="majorHAnsi" w:eastAsia="Times New Roman" w:hAnsiTheme="majorHAnsi" w:cs="Arial"/>
          <w:color w:val="222222"/>
          <w:sz w:val="20"/>
          <w:szCs w:val="20"/>
          <w:lang w:eastAsia="hu-HU"/>
        </w:rPr>
      </w:pPr>
      <w:r w:rsidRPr="00814598">
        <w:rPr>
          <w:rStyle w:val="Lbjegyzet-hivatkozs"/>
          <w:rFonts w:asciiTheme="majorHAnsi" w:hAnsiTheme="majorHAnsi"/>
          <w:sz w:val="20"/>
          <w:szCs w:val="20"/>
        </w:rPr>
        <w:footnoteRef/>
      </w:r>
      <w:r w:rsidRPr="00814598">
        <w:rPr>
          <w:rFonts w:asciiTheme="majorHAnsi" w:eastAsia="Times New Roman" w:hAnsiTheme="majorHAnsi" w:cs="Arial"/>
          <w:color w:val="222222"/>
          <w:sz w:val="20"/>
          <w:szCs w:val="20"/>
          <w:lang w:eastAsia="hu-HU"/>
        </w:rPr>
        <w:t> </w:t>
      </w:r>
      <w:hyperlink r:id="rId12" w:tgtFrame="_blank" w:history="1">
        <w:r w:rsidRPr="00814598">
          <w:rPr>
            <w:rFonts w:asciiTheme="majorHAnsi" w:eastAsia="Times New Roman" w:hAnsiTheme="majorHAnsi" w:cs="Arial"/>
            <w:color w:val="1155CC"/>
            <w:sz w:val="20"/>
            <w:szCs w:val="20"/>
            <w:u w:val="single"/>
            <w:lang w:eastAsia="hu-HU"/>
          </w:rPr>
          <w:t>http://avarosmindenkie.blog.hu/2013/09/12/the_criminalization_of_homelessness_in_hungary_between_2010_and</w:t>
        </w:r>
      </w:hyperlink>
    </w:p>
    <w:p w:rsidR="005A44A8" w:rsidRDefault="005A44A8" w:rsidP="00814598">
      <w:pPr>
        <w:pStyle w:val="Lbjegyzetszveg"/>
      </w:pPr>
    </w:p>
  </w:footnote>
  <w:footnote w:id="19">
    <w:p w:rsidR="005A44A8" w:rsidRPr="0083377C" w:rsidRDefault="005A44A8" w:rsidP="00C85F43">
      <w:pPr>
        <w:pStyle w:val="Lbjegyzetszveg"/>
        <w:rPr>
          <w:rFonts w:cs="Tahoma"/>
          <w:sz w:val="16"/>
          <w:szCs w:val="16"/>
        </w:rPr>
      </w:pPr>
      <w:r w:rsidRPr="0083377C">
        <w:rPr>
          <w:rStyle w:val="Lbjegyzet-hivatkozs"/>
          <w:rFonts w:cs="Tahoma"/>
          <w:sz w:val="16"/>
          <w:szCs w:val="16"/>
        </w:rPr>
        <w:footnoteRef/>
      </w:r>
      <w:r w:rsidRPr="0083377C">
        <w:rPr>
          <w:rFonts w:cs="Tahoma"/>
          <w:sz w:val="16"/>
          <w:szCs w:val="16"/>
        </w:rPr>
        <w:t xml:space="preserve"> Varga and </w:t>
      </w:r>
      <w:proofErr w:type="spellStart"/>
      <w:r w:rsidRPr="0083377C">
        <w:rPr>
          <w:rFonts w:cs="Tahoma"/>
          <w:sz w:val="16"/>
          <w:szCs w:val="16"/>
        </w:rPr>
        <w:t>Others</w:t>
      </w:r>
      <w:proofErr w:type="spellEnd"/>
      <w:r w:rsidRPr="0083377C">
        <w:rPr>
          <w:rFonts w:cs="Tahoma"/>
          <w:sz w:val="16"/>
          <w:szCs w:val="16"/>
        </w:rPr>
        <w:t xml:space="preserve"> v. Hungary </w:t>
      </w:r>
    </w:p>
  </w:footnote>
  <w:footnote w:id="20">
    <w:p w:rsidR="005A44A8" w:rsidRPr="00E952EA" w:rsidRDefault="005A44A8" w:rsidP="00C85F43">
      <w:pPr>
        <w:pStyle w:val="Lbjegyzetszveg"/>
        <w:rPr>
          <w:rFonts w:asciiTheme="majorHAnsi" w:hAnsiTheme="majorHAnsi"/>
        </w:rPr>
      </w:pPr>
      <w:r w:rsidRPr="00E952EA">
        <w:rPr>
          <w:rStyle w:val="Lbjegyzet-hivatkozs"/>
          <w:rFonts w:asciiTheme="majorHAnsi" w:hAnsiTheme="majorHAnsi"/>
        </w:rPr>
        <w:footnoteRef/>
      </w:r>
      <w:r w:rsidRPr="00E952EA">
        <w:rPr>
          <w:rFonts w:asciiTheme="majorHAnsi" w:hAnsiTheme="majorHAnsi"/>
          <w:lang w:val="en-US"/>
        </w:rPr>
        <w:t>Act V of 2013</w:t>
      </w:r>
      <w:r>
        <w:rPr>
          <w:rFonts w:asciiTheme="majorHAnsi" w:hAnsiTheme="majorHAnsi"/>
          <w:lang w:val="en-US"/>
        </w:rPr>
        <w:t>.</w:t>
      </w:r>
    </w:p>
  </w:footnote>
  <w:footnote w:id="21">
    <w:p w:rsidR="005A44A8" w:rsidRPr="00E952EA" w:rsidRDefault="005A44A8" w:rsidP="00C85F43">
      <w:pPr>
        <w:pStyle w:val="Lbjegyzetszveg"/>
        <w:rPr>
          <w:rFonts w:asciiTheme="majorHAnsi" w:hAnsiTheme="majorHAnsi"/>
        </w:rPr>
      </w:pPr>
      <w:r w:rsidRPr="00E952EA">
        <w:rPr>
          <w:rStyle w:val="Lbjegyzet-hivatkozs"/>
          <w:rFonts w:asciiTheme="majorHAnsi" w:hAnsiTheme="majorHAnsi"/>
        </w:rPr>
        <w:footnoteRef/>
      </w:r>
      <w:r w:rsidRPr="00E952EA">
        <w:rPr>
          <w:rFonts w:asciiTheme="majorHAnsi" w:hAnsiTheme="majorHAnsi"/>
          <w:lang w:val="en-US"/>
        </w:rPr>
        <w:t>According to the most recent statistical data, by the end of 2014, there were 55,928 people under guardianship in Hungary, a country of 10 million people, of which more than 30,000 were under plenary guardianship.</w:t>
      </w:r>
    </w:p>
  </w:footnote>
  <w:footnote w:id="22">
    <w:p w:rsidR="005A44A8" w:rsidRPr="00E952EA" w:rsidRDefault="005A44A8" w:rsidP="00C85F43">
      <w:pPr>
        <w:pStyle w:val="Lbjegyzetszveg"/>
        <w:rPr>
          <w:rFonts w:asciiTheme="majorHAnsi" w:hAnsiTheme="majorHAnsi"/>
          <w:lang w:val="en-US"/>
        </w:rPr>
      </w:pPr>
      <w:r w:rsidRPr="00E952EA">
        <w:rPr>
          <w:rStyle w:val="Lbjegyzet-hivatkozs"/>
          <w:rFonts w:asciiTheme="majorHAnsi" w:hAnsiTheme="majorHAnsi"/>
        </w:rPr>
        <w:footnoteRef/>
      </w:r>
      <w:r w:rsidRPr="00E952EA">
        <w:rPr>
          <w:rFonts w:asciiTheme="majorHAnsi" w:hAnsiTheme="majorHAnsi"/>
          <w:lang w:val="en-US"/>
        </w:rPr>
        <w:t>Section 4:10(1) of the Act V of 2013 on the Civil Code.</w:t>
      </w:r>
    </w:p>
  </w:footnote>
  <w:footnote w:id="23">
    <w:p w:rsidR="005A44A8" w:rsidRPr="00E952EA" w:rsidRDefault="005A44A8" w:rsidP="00C85F43">
      <w:pPr>
        <w:pStyle w:val="Lbjegyzetszveg"/>
        <w:rPr>
          <w:rFonts w:asciiTheme="majorHAnsi" w:hAnsiTheme="majorHAnsi"/>
          <w:lang w:val="en-US"/>
        </w:rPr>
      </w:pPr>
      <w:r w:rsidRPr="00E952EA">
        <w:rPr>
          <w:rStyle w:val="Lbjegyzet-hivatkozs"/>
          <w:rFonts w:asciiTheme="majorHAnsi" w:hAnsiTheme="majorHAnsi"/>
          <w:lang w:val="en-US"/>
        </w:rPr>
        <w:footnoteRef/>
      </w:r>
      <w:r w:rsidRPr="00E952EA">
        <w:rPr>
          <w:rFonts w:asciiTheme="majorHAnsi" w:hAnsiTheme="majorHAnsi"/>
          <w:lang w:val="en-US"/>
        </w:rPr>
        <w:t xml:space="preserve"> Section 7:11 and Section 2:22(1) of the Act V of 2013 on the Civil Code.</w:t>
      </w:r>
    </w:p>
  </w:footnote>
  <w:footnote w:id="24">
    <w:p w:rsidR="005A44A8" w:rsidRPr="00E952EA" w:rsidRDefault="005A44A8" w:rsidP="00C85F43">
      <w:pPr>
        <w:pStyle w:val="Lbjegyzetszveg"/>
        <w:rPr>
          <w:rFonts w:asciiTheme="majorHAnsi" w:hAnsiTheme="majorHAnsi"/>
          <w:lang w:val="en-US"/>
        </w:rPr>
      </w:pPr>
      <w:r w:rsidRPr="00E952EA">
        <w:rPr>
          <w:rStyle w:val="Lbjegyzet-hivatkozs"/>
          <w:rFonts w:asciiTheme="majorHAnsi" w:hAnsiTheme="majorHAnsi"/>
          <w:lang w:val="en-US"/>
        </w:rPr>
        <w:footnoteRef/>
      </w:r>
      <w:r w:rsidRPr="00E952EA">
        <w:rPr>
          <w:rFonts w:asciiTheme="majorHAnsi" w:hAnsiTheme="majorHAnsi"/>
          <w:lang w:val="en-US"/>
        </w:rPr>
        <w:t xml:space="preserve"> Section 4:121(1) of the Act V of 2013 on the Civil Code.</w:t>
      </w:r>
    </w:p>
  </w:footnote>
  <w:footnote w:id="25">
    <w:p w:rsidR="005A44A8" w:rsidRPr="00E952EA" w:rsidRDefault="005A44A8" w:rsidP="00C85F43">
      <w:pPr>
        <w:pStyle w:val="Lbjegyzetszveg"/>
        <w:rPr>
          <w:rFonts w:asciiTheme="majorHAnsi" w:hAnsiTheme="majorHAnsi"/>
          <w:lang w:val="en-US"/>
        </w:rPr>
      </w:pPr>
      <w:r w:rsidRPr="00E952EA">
        <w:rPr>
          <w:rStyle w:val="Lbjegyzet-hivatkozs"/>
          <w:rFonts w:asciiTheme="majorHAnsi" w:hAnsiTheme="majorHAnsi"/>
          <w:lang w:val="en-US"/>
        </w:rPr>
        <w:footnoteRef/>
      </w:r>
      <w:r w:rsidRPr="00E952EA">
        <w:rPr>
          <w:rFonts w:asciiTheme="majorHAnsi" w:hAnsiTheme="majorHAnsi"/>
          <w:lang w:val="en-US"/>
        </w:rPr>
        <w:t>Section 15(2) of the Act CLIV of 1997 on Health.</w:t>
      </w:r>
      <w:r w:rsidR="00C46FD7">
        <w:rPr>
          <w:rFonts w:asciiTheme="majorHAnsi" w:hAnsiTheme="majorHAnsi"/>
          <w:lang w:val="en-US"/>
        </w:rPr>
        <w:t xml:space="preserve"> </w:t>
      </w:r>
      <w:r w:rsidRPr="00E952EA">
        <w:rPr>
          <w:rFonts w:asciiTheme="majorHAnsi" w:hAnsiTheme="majorHAnsi"/>
          <w:lang w:val="en-US"/>
        </w:rPr>
        <w:t>Section 16 (2) and Section 21 of the Act CLIV of 1997 on Health.</w:t>
      </w:r>
    </w:p>
  </w:footnote>
  <w:footnote w:id="26">
    <w:p w:rsidR="005A44A8" w:rsidRPr="00E952EA" w:rsidRDefault="005A44A8" w:rsidP="00C85F43">
      <w:pPr>
        <w:pStyle w:val="Lbjegyzetszveg"/>
        <w:rPr>
          <w:rFonts w:asciiTheme="majorHAnsi" w:hAnsiTheme="majorHAnsi"/>
          <w:lang w:val="en-US"/>
        </w:rPr>
      </w:pPr>
      <w:r w:rsidRPr="00E952EA">
        <w:rPr>
          <w:rStyle w:val="Lbjegyzet-hivatkozs"/>
          <w:rFonts w:asciiTheme="majorHAnsi" w:hAnsiTheme="majorHAnsi"/>
          <w:lang w:val="en-US"/>
        </w:rPr>
        <w:footnoteRef/>
      </w:r>
      <w:r w:rsidRPr="00E952EA">
        <w:rPr>
          <w:rFonts w:asciiTheme="majorHAnsi" w:hAnsiTheme="majorHAnsi"/>
          <w:lang w:val="en-US"/>
        </w:rPr>
        <w:t>Section 49(1)-(2) of the Act III of 1952 on the Code of Civil Procedure; Section 15 (7) of the Act CXL of 2004 on the General Rules of Administrative Proceedings and Services.</w:t>
      </w:r>
    </w:p>
  </w:footnote>
  <w:footnote w:id="27">
    <w:p w:rsidR="005A44A8" w:rsidRPr="00E952EA" w:rsidRDefault="005A44A8" w:rsidP="00C85F43">
      <w:pPr>
        <w:pStyle w:val="Lbjegyzetszveg"/>
        <w:rPr>
          <w:rFonts w:asciiTheme="majorHAnsi" w:hAnsiTheme="majorHAnsi"/>
          <w:lang w:val="en-US"/>
        </w:rPr>
      </w:pPr>
      <w:r w:rsidRPr="00E952EA">
        <w:rPr>
          <w:rStyle w:val="Lbjegyzet-hivatkozs"/>
          <w:rFonts w:asciiTheme="majorHAnsi" w:hAnsiTheme="majorHAnsi"/>
          <w:lang w:val="en-US"/>
        </w:rPr>
        <w:footnoteRef/>
      </w:r>
      <w:r w:rsidRPr="00E952EA">
        <w:rPr>
          <w:rFonts w:asciiTheme="majorHAnsi" w:hAnsiTheme="majorHAnsi"/>
          <w:lang w:val="en-US"/>
        </w:rPr>
        <w:t>Section 2:22(1) (3) of the Act V of 2013 on the Civil Code.</w:t>
      </w:r>
    </w:p>
  </w:footnote>
  <w:footnote w:id="28">
    <w:p w:rsidR="005A44A8" w:rsidRPr="00E952EA" w:rsidRDefault="005A44A8" w:rsidP="00C85F43">
      <w:pPr>
        <w:pStyle w:val="Lbjegyzetszveg"/>
        <w:rPr>
          <w:rFonts w:asciiTheme="majorHAnsi" w:hAnsiTheme="majorHAnsi"/>
        </w:rPr>
      </w:pPr>
      <w:r w:rsidRPr="00E952EA">
        <w:rPr>
          <w:rStyle w:val="Lbjegyzet-hivatkozs"/>
          <w:rFonts w:asciiTheme="majorHAnsi" w:hAnsiTheme="majorHAnsi"/>
          <w:lang w:val="en-US"/>
        </w:rPr>
        <w:footnoteRef/>
      </w:r>
      <w:r w:rsidRPr="00E952EA">
        <w:rPr>
          <w:rFonts w:asciiTheme="majorHAnsi" w:hAnsiTheme="majorHAnsi"/>
          <w:lang w:val="en-US"/>
        </w:rPr>
        <w:t>Section 7(5)-(6) of the Act CLV of 2013 on supported decision-making</w:t>
      </w:r>
      <w:r w:rsidR="00494F93">
        <w:rPr>
          <w:rFonts w:asciiTheme="majorHAnsi" w:hAnsiTheme="majorHAnsi"/>
          <w:lang w:val="en-US"/>
        </w:rPr>
        <w:t>.</w:t>
      </w:r>
    </w:p>
  </w:footnote>
  <w:footnote w:id="29">
    <w:p w:rsidR="005A44A8" w:rsidRPr="00E952EA" w:rsidRDefault="005A44A8" w:rsidP="00C85F43">
      <w:pPr>
        <w:pStyle w:val="Lbjegyzetszveg"/>
        <w:rPr>
          <w:rFonts w:asciiTheme="majorHAnsi" w:hAnsiTheme="majorHAnsi"/>
        </w:rPr>
      </w:pPr>
      <w:r w:rsidRPr="00E952EA">
        <w:rPr>
          <w:rStyle w:val="Lbjegyzet-hivatkozs"/>
          <w:rFonts w:asciiTheme="majorHAnsi" w:hAnsiTheme="majorHAnsi"/>
        </w:rPr>
        <w:footnoteRef/>
      </w:r>
      <w:r w:rsidRPr="00E952EA">
        <w:rPr>
          <w:rFonts w:asciiTheme="majorHAnsi" w:eastAsia="Times New Roman" w:hAnsiTheme="majorHAnsi"/>
          <w:lang w:val="en-US"/>
        </w:rPr>
        <w:t>According to the latest data of the Hungarian Central Statistical Office.</w:t>
      </w:r>
    </w:p>
  </w:footnote>
  <w:footnote w:id="30">
    <w:p w:rsidR="005A44A8" w:rsidRPr="00FB217C" w:rsidRDefault="005A44A8" w:rsidP="00C85F43">
      <w:pPr>
        <w:spacing w:after="0"/>
        <w:rPr>
          <w:rFonts w:asciiTheme="majorHAnsi" w:hAnsiTheme="majorHAnsi"/>
          <w:sz w:val="20"/>
          <w:szCs w:val="20"/>
          <w:lang w:val="en-US"/>
        </w:rPr>
      </w:pPr>
      <w:r w:rsidRPr="00E952EA">
        <w:rPr>
          <w:rStyle w:val="Lbjegyzet-hivatkozs"/>
          <w:rFonts w:asciiTheme="majorHAnsi" w:hAnsiTheme="majorHAnsi"/>
          <w:sz w:val="20"/>
          <w:szCs w:val="20"/>
        </w:rPr>
        <w:footnoteRef/>
      </w:r>
      <w:proofErr w:type="spellStart"/>
      <w:r w:rsidRPr="00E952EA">
        <w:rPr>
          <w:rFonts w:asciiTheme="majorHAnsi" w:hAnsiTheme="majorHAnsi"/>
          <w:sz w:val="20"/>
          <w:szCs w:val="20"/>
        </w:rPr>
        <w:t>See</w:t>
      </w:r>
      <w:proofErr w:type="spellEnd"/>
      <w:r w:rsidR="00494F93">
        <w:rPr>
          <w:rFonts w:asciiTheme="majorHAnsi" w:hAnsiTheme="majorHAnsi"/>
          <w:sz w:val="20"/>
          <w:szCs w:val="20"/>
        </w:rPr>
        <w:t xml:space="preserve"> </w:t>
      </w:r>
      <w:proofErr w:type="spellStart"/>
      <w:r w:rsidRPr="00E952EA">
        <w:rPr>
          <w:rFonts w:asciiTheme="majorHAnsi" w:hAnsiTheme="majorHAnsi"/>
          <w:sz w:val="20"/>
          <w:szCs w:val="20"/>
        </w:rPr>
        <w:t>Summary</w:t>
      </w:r>
      <w:proofErr w:type="spellEnd"/>
      <w:r w:rsidRPr="00E952EA">
        <w:rPr>
          <w:rFonts w:asciiTheme="majorHAnsi" w:hAnsiTheme="majorHAnsi"/>
          <w:sz w:val="20"/>
          <w:szCs w:val="20"/>
        </w:rPr>
        <w:t xml:space="preserve"> of </w:t>
      </w:r>
      <w:proofErr w:type="spellStart"/>
      <w:r w:rsidRPr="00E952EA">
        <w:rPr>
          <w:rFonts w:asciiTheme="majorHAnsi" w:hAnsiTheme="majorHAnsi"/>
          <w:sz w:val="20"/>
          <w:szCs w:val="20"/>
        </w:rPr>
        <w:t>Case</w:t>
      </w:r>
      <w:proofErr w:type="spellEnd"/>
      <w:r w:rsidR="00494F93">
        <w:rPr>
          <w:rFonts w:asciiTheme="majorHAnsi" w:hAnsiTheme="majorHAnsi"/>
          <w:sz w:val="20"/>
          <w:szCs w:val="20"/>
        </w:rPr>
        <w:t xml:space="preserve"> </w:t>
      </w:r>
      <w:proofErr w:type="spellStart"/>
      <w:r w:rsidRPr="00E952EA">
        <w:rPr>
          <w:rFonts w:asciiTheme="majorHAnsi" w:hAnsiTheme="majorHAnsi"/>
          <w:sz w:val="20"/>
          <w:szCs w:val="20"/>
        </w:rPr>
        <w:t>report</w:t>
      </w:r>
      <w:proofErr w:type="spellEnd"/>
      <w:r w:rsidRPr="00E952EA">
        <w:rPr>
          <w:rFonts w:asciiTheme="majorHAnsi" w:hAnsiTheme="majorHAnsi"/>
          <w:sz w:val="20"/>
          <w:szCs w:val="20"/>
        </w:rPr>
        <w:t xml:space="preserve"> AJB-371/2015 </w:t>
      </w:r>
      <w:proofErr w:type="spellStart"/>
      <w:r w:rsidRPr="00E952EA">
        <w:rPr>
          <w:rFonts w:asciiTheme="majorHAnsi" w:hAnsiTheme="majorHAnsi"/>
          <w:sz w:val="20"/>
          <w:szCs w:val="20"/>
        </w:rPr>
        <w:t>on</w:t>
      </w:r>
      <w:proofErr w:type="spellEnd"/>
      <w:r w:rsidRPr="00E952EA">
        <w:rPr>
          <w:rFonts w:asciiTheme="majorHAnsi" w:hAnsiTheme="majorHAnsi"/>
          <w:sz w:val="20"/>
          <w:szCs w:val="20"/>
        </w:rPr>
        <w:t xml:space="preserve"> OPCAT Visit </w:t>
      </w:r>
      <w:proofErr w:type="spellStart"/>
      <w:r w:rsidRPr="00E952EA">
        <w:rPr>
          <w:rFonts w:asciiTheme="majorHAnsi" w:hAnsiTheme="majorHAnsi"/>
          <w:sz w:val="20"/>
          <w:szCs w:val="20"/>
        </w:rPr>
        <w:t>to</w:t>
      </w:r>
      <w:proofErr w:type="spellEnd"/>
      <w:r w:rsidR="00494F93">
        <w:rPr>
          <w:rFonts w:asciiTheme="majorHAnsi" w:hAnsiTheme="majorHAnsi"/>
          <w:sz w:val="20"/>
          <w:szCs w:val="20"/>
        </w:rPr>
        <w:t xml:space="preserve"> </w:t>
      </w:r>
      <w:proofErr w:type="spellStart"/>
      <w:r w:rsidRPr="00E952EA">
        <w:rPr>
          <w:rFonts w:asciiTheme="majorHAnsi" w:hAnsiTheme="majorHAnsi"/>
          <w:sz w:val="20"/>
          <w:szCs w:val="20"/>
        </w:rPr>
        <w:t>the</w:t>
      </w:r>
      <w:proofErr w:type="spellEnd"/>
      <w:r w:rsidR="00494F93">
        <w:rPr>
          <w:rFonts w:asciiTheme="majorHAnsi" w:hAnsiTheme="majorHAnsi"/>
          <w:sz w:val="20"/>
          <w:szCs w:val="20"/>
        </w:rPr>
        <w:t xml:space="preserve"> </w:t>
      </w:r>
      <w:proofErr w:type="spellStart"/>
      <w:r w:rsidRPr="00E952EA">
        <w:rPr>
          <w:rFonts w:asciiTheme="majorHAnsi" w:hAnsiTheme="majorHAnsi"/>
          <w:sz w:val="20"/>
          <w:szCs w:val="20"/>
        </w:rPr>
        <w:t>Therapeutic</w:t>
      </w:r>
      <w:proofErr w:type="spellEnd"/>
      <w:r w:rsidRPr="00E952EA">
        <w:rPr>
          <w:rFonts w:asciiTheme="majorHAnsi" w:hAnsiTheme="majorHAnsi"/>
          <w:sz w:val="20"/>
          <w:szCs w:val="20"/>
        </w:rPr>
        <w:t xml:space="preserve"> House of Debrecen (28 </w:t>
      </w:r>
      <w:proofErr w:type="spellStart"/>
      <w:r w:rsidRPr="00E952EA">
        <w:rPr>
          <w:rFonts w:asciiTheme="majorHAnsi" w:hAnsiTheme="majorHAnsi"/>
          <w:sz w:val="20"/>
          <w:szCs w:val="20"/>
        </w:rPr>
        <w:t>January</w:t>
      </w:r>
      <w:proofErr w:type="spellEnd"/>
      <w:r w:rsidRPr="00E952EA">
        <w:rPr>
          <w:rFonts w:asciiTheme="majorHAnsi" w:hAnsiTheme="majorHAnsi"/>
          <w:sz w:val="20"/>
          <w:szCs w:val="20"/>
        </w:rPr>
        <w:t xml:space="preserve"> 2015) </w:t>
      </w:r>
      <w:proofErr w:type="spellStart"/>
      <w:r w:rsidRPr="00E952EA">
        <w:rPr>
          <w:rFonts w:asciiTheme="majorHAnsi" w:hAnsiTheme="majorHAnsi"/>
          <w:sz w:val="20"/>
          <w:szCs w:val="20"/>
        </w:rPr>
        <w:t>available</w:t>
      </w:r>
      <w:proofErr w:type="spellEnd"/>
      <w:r w:rsidR="00494F93">
        <w:rPr>
          <w:rFonts w:asciiTheme="majorHAnsi" w:hAnsiTheme="majorHAnsi"/>
          <w:sz w:val="20"/>
          <w:szCs w:val="20"/>
        </w:rPr>
        <w:t xml:space="preserve"> </w:t>
      </w:r>
      <w:proofErr w:type="spellStart"/>
      <w:r w:rsidRPr="00E952EA">
        <w:rPr>
          <w:rFonts w:asciiTheme="majorHAnsi" w:hAnsiTheme="majorHAnsi"/>
          <w:sz w:val="20"/>
          <w:szCs w:val="20"/>
        </w:rPr>
        <w:t>at</w:t>
      </w:r>
      <w:proofErr w:type="spellEnd"/>
      <w:r w:rsidR="00494F93">
        <w:rPr>
          <w:rFonts w:asciiTheme="majorHAnsi" w:hAnsiTheme="majorHAnsi"/>
          <w:sz w:val="20"/>
          <w:szCs w:val="20"/>
        </w:rPr>
        <w:t xml:space="preserve"> </w:t>
      </w:r>
      <w:hyperlink r:id="rId13" w:history="1">
        <w:r w:rsidRPr="00E952EA">
          <w:rPr>
            <w:rStyle w:val="Hiperhivatkozs"/>
            <w:rFonts w:asciiTheme="majorHAnsi" w:hAnsiTheme="majorHAnsi"/>
            <w:sz w:val="20"/>
            <w:szCs w:val="20"/>
          </w:rPr>
          <w:t>http://www.ajbh.hu/en/web/ajbh-en/opcat-reports</w:t>
        </w:r>
      </w:hyperlink>
      <w:r w:rsidRPr="00E952EA">
        <w:rPr>
          <w:rFonts w:asciiTheme="majorHAnsi" w:hAnsiTheme="majorHAnsi"/>
          <w:sz w:val="20"/>
          <w:szCs w:val="20"/>
        </w:rPr>
        <w:t xml:space="preserve">, and </w:t>
      </w:r>
      <w:proofErr w:type="spellStart"/>
      <w:r w:rsidRPr="00E952EA">
        <w:rPr>
          <w:rFonts w:asciiTheme="majorHAnsi" w:hAnsiTheme="majorHAnsi"/>
          <w:sz w:val="20"/>
          <w:szCs w:val="20"/>
        </w:rPr>
        <w:t>Case</w:t>
      </w:r>
      <w:proofErr w:type="spellEnd"/>
      <w:r w:rsidR="00494F93">
        <w:rPr>
          <w:rFonts w:asciiTheme="majorHAnsi" w:hAnsiTheme="majorHAnsi"/>
          <w:sz w:val="20"/>
          <w:szCs w:val="20"/>
        </w:rPr>
        <w:t xml:space="preserve"> </w:t>
      </w:r>
      <w:proofErr w:type="spellStart"/>
      <w:r w:rsidRPr="00E952EA">
        <w:rPr>
          <w:rFonts w:asciiTheme="majorHAnsi" w:hAnsiTheme="majorHAnsi"/>
          <w:sz w:val="20"/>
          <w:szCs w:val="20"/>
        </w:rPr>
        <w:t>report</w:t>
      </w:r>
      <w:proofErr w:type="spellEnd"/>
      <w:r w:rsidR="00494F93">
        <w:rPr>
          <w:rFonts w:asciiTheme="majorHAnsi" w:hAnsiTheme="majorHAnsi"/>
          <w:sz w:val="20"/>
          <w:szCs w:val="20"/>
        </w:rPr>
        <w:t xml:space="preserve"> </w:t>
      </w:r>
      <w:proofErr w:type="spellStart"/>
      <w:r w:rsidRPr="00E952EA">
        <w:rPr>
          <w:rFonts w:asciiTheme="majorHAnsi" w:hAnsiTheme="majorHAnsi"/>
          <w:sz w:val="20"/>
          <w:szCs w:val="20"/>
        </w:rPr>
        <w:t>on</w:t>
      </w:r>
      <w:proofErr w:type="spellEnd"/>
      <w:r w:rsidRPr="00E952EA">
        <w:rPr>
          <w:rFonts w:asciiTheme="majorHAnsi" w:hAnsiTheme="majorHAnsi"/>
          <w:sz w:val="20"/>
          <w:szCs w:val="20"/>
        </w:rPr>
        <w:t xml:space="preserve"> OPCAT Visit </w:t>
      </w:r>
      <w:r w:rsidRPr="00FB217C">
        <w:rPr>
          <w:rFonts w:asciiTheme="majorHAnsi" w:hAnsiTheme="majorHAnsi"/>
          <w:sz w:val="20"/>
          <w:szCs w:val="20"/>
          <w:lang w:val="en-US"/>
        </w:rPr>
        <w:t>to</w:t>
      </w:r>
      <w:r w:rsidR="00494F93">
        <w:rPr>
          <w:rFonts w:asciiTheme="majorHAnsi" w:hAnsiTheme="majorHAnsi"/>
          <w:sz w:val="20"/>
          <w:szCs w:val="20"/>
          <w:lang w:val="en-US"/>
        </w:rPr>
        <w:t xml:space="preserve"> </w:t>
      </w:r>
      <w:r w:rsidRPr="00FB217C">
        <w:rPr>
          <w:rFonts w:asciiTheme="majorHAnsi" w:hAnsiTheme="majorHAnsi"/>
          <w:sz w:val="20"/>
          <w:szCs w:val="20"/>
          <w:lang w:val="en-US"/>
        </w:rPr>
        <w:t>the</w:t>
      </w:r>
      <w:r w:rsidR="00494F93">
        <w:rPr>
          <w:rFonts w:asciiTheme="majorHAnsi" w:hAnsiTheme="majorHAnsi"/>
          <w:sz w:val="20"/>
          <w:szCs w:val="20"/>
          <w:lang w:val="en-US"/>
        </w:rPr>
        <w:t xml:space="preserve"> </w:t>
      </w:r>
      <w:r w:rsidRPr="00FB217C">
        <w:rPr>
          <w:rFonts w:asciiTheme="majorHAnsi" w:hAnsiTheme="majorHAnsi"/>
          <w:sz w:val="20"/>
          <w:szCs w:val="20"/>
          <w:lang w:val="en-US"/>
        </w:rPr>
        <w:t>Closed</w:t>
      </w:r>
      <w:r w:rsidR="00494F93">
        <w:rPr>
          <w:rFonts w:asciiTheme="majorHAnsi" w:hAnsiTheme="majorHAnsi"/>
          <w:sz w:val="20"/>
          <w:szCs w:val="20"/>
          <w:lang w:val="en-US"/>
        </w:rPr>
        <w:t xml:space="preserve"> </w:t>
      </w:r>
      <w:r w:rsidRPr="00FB217C">
        <w:rPr>
          <w:rFonts w:asciiTheme="majorHAnsi" w:hAnsiTheme="majorHAnsi"/>
          <w:sz w:val="20"/>
          <w:szCs w:val="20"/>
          <w:lang w:val="en-US"/>
        </w:rPr>
        <w:t>Ward of the Centre for</w:t>
      </w:r>
      <w:r w:rsidR="00494F93">
        <w:rPr>
          <w:rFonts w:asciiTheme="majorHAnsi" w:hAnsiTheme="majorHAnsi"/>
          <w:sz w:val="20"/>
          <w:szCs w:val="20"/>
          <w:lang w:val="en-US"/>
        </w:rPr>
        <w:t xml:space="preserve"> </w:t>
      </w:r>
      <w:r w:rsidRPr="00FB217C">
        <w:rPr>
          <w:rFonts w:asciiTheme="majorHAnsi" w:hAnsiTheme="majorHAnsi"/>
          <w:sz w:val="20"/>
          <w:szCs w:val="20"/>
          <w:lang w:val="en-US"/>
        </w:rPr>
        <w:t xml:space="preserve">Psychiatry and </w:t>
      </w:r>
      <w:proofErr w:type="spellStart"/>
      <w:r w:rsidRPr="00FB217C">
        <w:rPr>
          <w:rFonts w:asciiTheme="majorHAnsi" w:hAnsiTheme="majorHAnsi"/>
          <w:sz w:val="20"/>
          <w:szCs w:val="20"/>
          <w:lang w:val="en-US"/>
        </w:rPr>
        <w:t>Addictology</w:t>
      </w:r>
      <w:proofErr w:type="spellEnd"/>
      <w:r w:rsidRPr="00FB217C">
        <w:rPr>
          <w:rFonts w:asciiTheme="majorHAnsi" w:hAnsiTheme="majorHAnsi"/>
          <w:sz w:val="20"/>
          <w:szCs w:val="20"/>
          <w:lang w:val="en-US"/>
        </w:rPr>
        <w:t xml:space="preserve"> of the </w:t>
      </w:r>
      <w:proofErr w:type="spellStart"/>
      <w:r w:rsidRPr="00FB217C">
        <w:rPr>
          <w:rFonts w:asciiTheme="majorHAnsi" w:hAnsiTheme="majorHAnsi"/>
          <w:sz w:val="20"/>
          <w:szCs w:val="20"/>
          <w:lang w:val="en-US"/>
        </w:rPr>
        <w:t>Gusztáv</w:t>
      </w:r>
      <w:proofErr w:type="spellEnd"/>
      <w:r w:rsidRPr="00FB217C">
        <w:rPr>
          <w:rFonts w:asciiTheme="majorHAnsi" w:hAnsiTheme="majorHAnsi"/>
          <w:sz w:val="20"/>
          <w:szCs w:val="20"/>
          <w:lang w:val="en-US"/>
        </w:rPr>
        <w:t xml:space="preserve"> </w:t>
      </w:r>
      <w:proofErr w:type="spellStart"/>
      <w:r w:rsidRPr="00FB217C">
        <w:rPr>
          <w:rFonts w:asciiTheme="majorHAnsi" w:hAnsiTheme="majorHAnsi"/>
          <w:sz w:val="20"/>
          <w:szCs w:val="20"/>
          <w:lang w:val="en-US"/>
        </w:rPr>
        <w:t>Merényi</w:t>
      </w:r>
      <w:proofErr w:type="spellEnd"/>
      <w:r w:rsidRPr="00FB217C">
        <w:rPr>
          <w:rFonts w:asciiTheme="majorHAnsi" w:hAnsiTheme="majorHAnsi"/>
          <w:sz w:val="20"/>
          <w:szCs w:val="20"/>
          <w:lang w:val="en-US"/>
        </w:rPr>
        <w:t xml:space="preserve"> Hospital</w:t>
      </w:r>
      <w:r w:rsidR="00494F93">
        <w:rPr>
          <w:rFonts w:asciiTheme="majorHAnsi" w:hAnsiTheme="majorHAnsi"/>
          <w:sz w:val="20"/>
          <w:szCs w:val="20"/>
          <w:lang w:val="en-US"/>
        </w:rPr>
        <w:t xml:space="preserve"> </w:t>
      </w:r>
      <w:r w:rsidRPr="00FB217C">
        <w:rPr>
          <w:rFonts w:asciiTheme="majorHAnsi" w:hAnsiTheme="majorHAnsi"/>
          <w:sz w:val="20"/>
          <w:szCs w:val="20"/>
          <w:lang w:val="en-US"/>
        </w:rPr>
        <w:t>available</w:t>
      </w:r>
      <w:r w:rsidR="00494F93">
        <w:rPr>
          <w:rFonts w:asciiTheme="majorHAnsi" w:hAnsiTheme="majorHAnsi"/>
          <w:sz w:val="20"/>
          <w:szCs w:val="20"/>
          <w:lang w:val="en-US"/>
        </w:rPr>
        <w:t xml:space="preserve"> </w:t>
      </w:r>
      <w:r w:rsidRPr="00FB217C">
        <w:rPr>
          <w:rFonts w:asciiTheme="majorHAnsi" w:hAnsiTheme="majorHAnsi"/>
          <w:sz w:val="20"/>
          <w:szCs w:val="20"/>
          <w:lang w:val="en-US"/>
        </w:rPr>
        <w:t>in</w:t>
      </w:r>
      <w:r w:rsidR="00494F93">
        <w:rPr>
          <w:rFonts w:asciiTheme="majorHAnsi" w:hAnsiTheme="majorHAnsi"/>
          <w:sz w:val="20"/>
          <w:szCs w:val="20"/>
          <w:lang w:val="en-US"/>
        </w:rPr>
        <w:t xml:space="preserve"> </w:t>
      </w:r>
      <w:r w:rsidRPr="00FB217C">
        <w:rPr>
          <w:rFonts w:asciiTheme="majorHAnsi" w:hAnsiTheme="majorHAnsi"/>
          <w:sz w:val="20"/>
          <w:szCs w:val="20"/>
          <w:lang w:val="en-US"/>
        </w:rPr>
        <w:t>Hungarian</w:t>
      </w:r>
      <w:r w:rsidR="00494F93">
        <w:rPr>
          <w:rFonts w:asciiTheme="majorHAnsi" w:hAnsiTheme="majorHAnsi"/>
          <w:sz w:val="20"/>
          <w:szCs w:val="20"/>
          <w:lang w:val="en-US"/>
        </w:rPr>
        <w:t xml:space="preserve"> </w:t>
      </w:r>
      <w:r w:rsidRPr="00FB217C">
        <w:rPr>
          <w:rFonts w:asciiTheme="majorHAnsi" w:hAnsiTheme="majorHAnsi"/>
          <w:sz w:val="20"/>
          <w:szCs w:val="20"/>
          <w:lang w:val="en-US"/>
        </w:rPr>
        <w:t>at</w:t>
      </w:r>
      <w:r w:rsidR="00494F93">
        <w:rPr>
          <w:rFonts w:asciiTheme="majorHAnsi" w:hAnsiTheme="majorHAnsi"/>
          <w:sz w:val="20"/>
          <w:szCs w:val="20"/>
          <w:lang w:val="en-US"/>
        </w:rPr>
        <w:t xml:space="preserve"> </w:t>
      </w:r>
      <w:hyperlink r:id="rId14" w:history="1">
        <w:r w:rsidRPr="00FB217C">
          <w:rPr>
            <w:rStyle w:val="Hiperhivatkozs"/>
            <w:rFonts w:asciiTheme="majorHAnsi" w:hAnsiTheme="majorHAnsi"/>
            <w:sz w:val="20"/>
            <w:szCs w:val="20"/>
            <w:lang w:val="en-US"/>
          </w:rPr>
          <w:t>http://www.ajbh.hu/opcat-jelentesek</w:t>
        </w:r>
      </w:hyperlink>
      <w:r w:rsidRPr="00FB217C">
        <w:rPr>
          <w:rFonts w:asciiTheme="majorHAnsi" w:hAnsiTheme="majorHAnsi"/>
          <w:sz w:val="20"/>
          <w:szCs w:val="20"/>
          <w:lang w:val="en-US"/>
        </w:rPr>
        <w:t xml:space="preserve"> [both</w:t>
      </w:r>
      <w:r w:rsidR="00494F93">
        <w:rPr>
          <w:rFonts w:asciiTheme="majorHAnsi" w:hAnsiTheme="majorHAnsi"/>
          <w:sz w:val="20"/>
          <w:szCs w:val="20"/>
          <w:lang w:val="en-US"/>
        </w:rPr>
        <w:t xml:space="preserve"> </w:t>
      </w:r>
      <w:r w:rsidRPr="00FB217C">
        <w:rPr>
          <w:rFonts w:asciiTheme="majorHAnsi" w:hAnsiTheme="majorHAnsi"/>
          <w:sz w:val="20"/>
          <w:szCs w:val="20"/>
          <w:lang w:val="en-US"/>
        </w:rPr>
        <w:t>last</w:t>
      </w:r>
      <w:r w:rsidR="00494F93">
        <w:rPr>
          <w:rFonts w:asciiTheme="majorHAnsi" w:hAnsiTheme="majorHAnsi"/>
          <w:sz w:val="20"/>
          <w:szCs w:val="20"/>
          <w:lang w:val="en-US"/>
        </w:rPr>
        <w:t xml:space="preserve"> </w:t>
      </w:r>
      <w:r w:rsidRPr="00FB217C">
        <w:rPr>
          <w:rFonts w:asciiTheme="majorHAnsi" w:hAnsiTheme="majorHAnsi"/>
          <w:sz w:val="20"/>
          <w:szCs w:val="20"/>
          <w:lang w:val="en-US"/>
        </w:rPr>
        <w:t>accessed</w:t>
      </w:r>
      <w:r w:rsidR="00494F93">
        <w:rPr>
          <w:rFonts w:asciiTheme="majorHAnsi" w:hAnsiTheme="majorHAnsi"/>
          <w:sz w:val="20"/>
          <w:szCs w:val="20"/>
          <w:lang w:val="en-US"/>
        </w:rPr>
        <w:t xml:space="preserve"> </w:t>
      </w:r>
      <w:r w:rsidRPr="00FB217C">
        <w:rPr>
          <w:rFonts w:asciiTheme="majorHAnsi" w:hAnsiTheme="majorHAnsi"/>
          <w:sz w:val="20"/>
          <w:szCs w:val="20"/>
          <w:lang w:val="en-US"/>
        </w:rPr>
        <w:t>on 4 August 2015].</w:t>
      </w:r>
    </w:p>
  </w:footnote>
  <w:footnote w:id="31">
    <w:p w:rsidR="005A44A8" w:rsidRPr="00FB217C" w:rsidRDefault="005A44A8" w:rsidP="00C85F43">
      <w:pPr>
        <w:pStyle w:val="Lbjegyzetszveg"/>
        <w:rPr>
          <w:rFonts w:asciiTheme="majorHAnsi" w:hAnsiTheme="majorHAnsi"/>
          <w:lang w:val="en-US"/>
        </w:rPr>
      </w:pPr>
      <w:r w:rsidRPr="00FB217C">
        <w:rPr>
          <w:rStyle w:val="Lbjegyzet-hivatkozs"/>
          <w:rFonts w:asciiTheme="majorHAnsi" w:hAnsiTheme="majorHAnsi"/>
          <w:lang w:val="en-US"/>
        </w:rPr>
        <w:footnoteRef/>
      </w:r>
      <w:r w:rsidRPr="00FB217C">
        <w:rPr>
          <w:rFonts w:asciiTheme="majorHAnsi" w:hAnsiTheme="majorHAnsi"/>
          <w:lang w:val="en-US"/>
        </w:rPr>
        <w:t>Approximately 30 million EUR.</w:t>
      </w:r>
    </w:p>
  </w:footnote>
  <w:footnote w:id="32">
    <w:p w:rsidR="005A44A8" w:rsidRDefault="005A44A8">
      <w:pPr>
        <w:pStyle w:val="Lbjegyzetszveg"/>
      </w:pPr>
      <w:r w:rsidRPr="00FB217C">
        <w:rPr>
          <w:rStyle w:val="Lbjegyzet-hivatkozs"/>
          <w:lang w:val="en-US"/>
        </w:rPr>
        <w:footnoteRef/>
      </w:r>
      <w:r w:rsidRPr="00FB217C">
        <w:rPr>
          <w:lang w:val="en-US"/>
        </w:rPr>
        <w:t xml:space="preserve"> The information and recommendations to this report regarding education, health and accessibility of persons with disabilities was provided by the National Council of Persons with Disabilities (FESZT).</w:t>
      </w:r>
    </w:p>
  </w:footnote>
  <w:footnote w:id="33">
    <w:p w:rsidR="005A44A8" w:rsidRPr="00A22A29" w:rsidRDefault="005A44A8" w:rsidP="008A6F10">
      <w:pPr>
        <w:pStyle w:val="Lbjegyzetszveg"/>
        <w:rPr>
          <w:rFonts w:asciiTheme="majorHAnsi" w:hAnsiTheme="majorHAnsi"/>
          <w:lang w:val="en-US"/>
        </w:rPr>
      </w:pPr>
      <w:r w:rsidRPr="00A22A29">
        <w:rPr>
          <w:rStyle w:val="Lbjegyzet-hivatkozs"/>
          <w:rFonts w:asciiTheme="majorHAnsi" w:hAnsiTheme="majorHAnsi"/>
          <w:lang w:val="en-US"/>
        </w:rPr>
        <w:footnoteRef/>
      </w:r>
      <w:r w:rsidRPr="00A22A29">
        <w:rPr>
          <w:rFonts w:asciiTheme="majorHAnsi" w:hAnsiTheme="majorHAnsi"/>
          <w:lang w:val="en-US"/>
        </w:rPr>
        <w:t xml:space="preserve"> European Union Agency for Fundamental Rights (FRA): Roma Survey – Data in focus. Education: the situation of Roma in 11 Member States. 2014. p. 44–45.</w:t>
      </w:r>
    </w:p>
  </w:footnote>
  <w:footnote w:id="34">
    <w:p w:rsidR="005A44A8" w:rsidRPr="00A22A29" w:rsidRDefault="005A44A8" w:rsidP="008A6F10">
      <w:pPr>
        <w:pStyle w:val="Lbjegyzetszveg"/>
        <w:rPr>
          <w:rFonts w:asciiTheme="majorHAnsi" w:hAnsiTheme="majorHAnsi"/>
          <w:lang w:val="en-US"/>
        </w:rPr>
      </w:pPr>
      <w:r w:rsidRPr="00A22A29">
        <w:rPr>
          <w:rStyle w:val="Lbjegyzet-hivatkozs"/>
          <w:rFonts w:asciiTheme="majorHAnsi" w:hAnsiTheme="majorHAnsi"/>
          <w:lang w:val="en-US"/>
        </w:rPr>
        <w:footnoteRef/>
      </w:r>
      <w:r w:rsidRPr="00A22A29">
        <w:rPr>
          <w:rFonts w:asciiTheme="majorHAnsi" w:hAnsiTheme="majorHAnsi"/>
          <w:lang w:val="en-US"/>
        </w:rPr>
        <w:t xml:space="preserve"> The data of the Educational Authority (EA) provided upon request of the Chance for Children Foundation (CFCF) in 2014 reported 381 primary and secondary schools to have 50% or more Roma among their students (although the EA warned that there is high latency in the provided data).</w:t>
      </w:r>
    </w:p>
  </w:footnote>
  <w:footnote w:id="35">
    <w:p w:rsidR="005A44A8" w:rsidRDefault="005A44A8" w:rsidP="008A6F10">
      <w:pPr>
        <w:pStyle w:val="Lbjegyzetszveg"/>
      </w:pPr>
      <w:r w:rsidRPr="00A22A29">
        <w:rPr>
          <w:rStyle w:val="Lbjegyzet-hivatkozs"/>
          <w:rFonts w:asciiTheme="majorHAnsi" w:hAnsiTheme="majorHAnsi"/>
          <w:lang w:val="en-US"/>
        </w:rPr>
        <w:footnoteRef/>
      </w:r>
      <w:r w:rsidRPr="00A22A29">
        <w:rPr>
          <w:rFonts w:asciiTheme="majorHAnsi" w:hAnsiTheme="majorHAnsi"/>
          <w:lang w:val="en-US"/>
        </w:rPr>
        <w:t xml:space="preserve"> Commitment related to Bill No. T/2085.</w:t>
      </w:r>
      <w:hyperlink r:id="rId15" w:history="1">
        <w:r w:rsidRPr="00A22A29">
          <w:rPr>
            <w:rFonts w:asciiTheme="majorHAnsi" w:hAnsiTheme="majorHAnsi"/>
            <w:lang w:val="en-US"/>
          </w:rPr>
          <w:t>http://cfcf.hu/images/Allasfoglalas.pdf</w:t>
        </w:r>
      </w:hyperlink>
      <w:r w:rsidRPr="00A22A29">
        <w:rPr>
          <w:rFonts w:asciiTheme="majorHAnsi" w:hAnsiTheme="majorHAnsi"/>
          <w:lang w:val="en-US"/>
        </w:rPr>
        <w:t xml:space="preserve">  (Accessed 11 September, 2015).</w:t>
      </w:r>
    </w:p>
  </w:footnote>
  <w:footnote w:id="36">
    <w:p w:rsidR="005A44A8" w:rsidRPr="00A22A29" w:rsidRDefault="005A44A8" w:rsidP="008A6F10">
      <w:pPr>
        <w:pStyle w:val="Lbjegyzetszveg"/>
        <w:rPr>
          <w:rFonts w:asciiTheme="majorHAnsi" w:hAnsiTheme="majorHAnsi"/>
          <w:lang w:val="en-US"/>
        </w:rPr>
      </w:pPr>
      <w:r w:rsidRPr="00A22A29">
        <w:rPr>
          <w:rStyle w:val="Lbjegyzet-hivatkozs"/>
          <w:rFonts w:asciiTheme="majorHAnsi" w:hAnsiTheme="majorHAnsi"/>
          <w:lang w:val="en-US"/>
        </w:rPr>
        <w:footnoteRef/>
      </w:r>
      <w:r w:rsidRPr="00A22A29">
        <w:rPr>
          <w:rFonts w:asciiTheme="majorHAnsi" w:hAnsiTheme="majorHAnsi"/>
          <w:lang w:val="en-US"/>
        </w:rPr>
        <w:t xml:space="preserve"> FRA: Roma Survey – Data in focus. Education: the situation of Roma in 11 Member States. 2014. p. 44. </w:t>
      </w:r>
    </w:p>
  </w:footnote>
  <w:footnote w:id="37">
    <w:p w:rsidR="005A44A8" w:rsidRPr="00A22A29" w:rsidRDefault="005A44A8" w:rsidP="008A6F10">
      <w:pPr>
        <w:pStyle w:val="Lbjegyzetszveg"/>
        <w:rPr>
          <w:rFonts w:asciiTheme="majorHAnsi" w:hAnsiTheme="majorHAnsi"/>
          <w:lang w:val="en-US"/>
        </w:rPr>
      </w:pPr>
      <w:r w:rsidRPr="00A22A29">
        <w:rPr>
          <w:rStyle w:val="Lbjegyzet-hivatkozs"/>
          <w:rFonts w:asciiTheme="majorHAnsi" w:hAnsiTheme="majorHAnsi"/>
          <w:lang w:val="en-US"/>
        </w:rPr>
        <w:footnoteRef/>
      </w:r>
      <w:r w:rsidRPr="00A22A29">
        <w:rPr>
          <w:rFonts w:asciiTheme="majorHAnsi" w:hAnsiTheme="majorHAnsi"/>
          <w:lang w:val="en-US"/>
        </w:rPr>
        <w:t xml:space="preserve"> Horvath and Kiss v. Hu</w:t>
      </w:r>
      <w:r>
        <w:rPr>
          <w:rFonts w:asciiTheme="majorHAnsi" w:hAnsiTheme="majorHAnsi"/>
          <w:lang w:val="en-US"/>
        </w:rPr>
        <w:t>ngary, application no. 11146/11.</w:t>
      </w:r>
    </w:p>
  </w:footnote>
  <w:footnote w:id="38">
    <w:p w:rsidR="005A44A8" w:rsidRPr="00A22A29" w:rsidRDefault="005A44A8" w:rsidP="008A6F10">
      <w:pPr>
        <w:spacing w:after="0" w:line="240" w:lineRule="auto"/>
        <w:jc w:val="both"/>
        <w:rPr>
          <w:rFonts w:asciiTheme="majorHAnsi" w:hAnsiTheme="majorHAnsi"/>
          <w:sz w:val="20"/>
          <w:szCs w:val="20"/>
          <w:lang w:val="en-US"/>
        </w:rPr>
      </w:pPr>
      <w:r w:rsidRPr="00A22A29">
        <w:rPr>
          <w:rFonts w:asciiTheme="majorHAnsi" w:hAnsiTheme="majorHAnsi"/>
          <w:sz w:val="20"/>
          <w:szCs w:val="20"/>
          <w:lang w:val="en-US"/>
        </w:rPr>
        <w:footnoteRef/>
      </w:r>
      <w:r w:rsidRPr="00A22A29">
        <w:rPr>
          <w:rFonts w:asciiTheme="majorHAnsi" w:hAnsiTheme="majorHAnsi"/>
          <w:sz w:val="20"/>
          <w:szCs w:val="20"/>
          <w:lang w:val="en-US"/>
        </w:rPr>
        <w:t xml:space="preserve"> See Art. 45 (6) of the Act CXC of 2011 on National Public Education on compulsory school age entered into force on 1 January 2013. </w:t>
      </w:r>
    </w:p>
  </w:footnote>
  <w:footnote w:id="39">
    <w:p w:rsidR="005A44A8" w:rsidRDefault="005A44A8" w:rsidP="008A6F10">
      <w:pPr>
        <w:pStyle w:val="Lbjegyzetszveg"/>
      </w:pPr>
      <w:r w:rsidRPr="00A22A29">
        <w:rPr>
          <w:rStyle w:val="Lbjegyzet-hivatkozs"/>
          <w:rFonts w:asciiTheme="majorHAnsi" w:hAnsiTheme="majorHAnsi"/>
          <w:lang w:val="en-US"/>
        </w:rPr>
        <w:footnoteRef/>
      </w:r>
      <w:r w:rsidRPr="00A22A29">
        <w:rPr>
          <w:rFonts w:asciiTheme="majorHAnsi" w:hAnsiTheme="majorHAnsi"/>
          <w:lang w:val="en-US"/>
        </w:rPr>
        <w:t xml:space="preserve"> As a result of it, the roles and responsibilities of local and governmental authorities changed. A year later, in January 2014 a second „phase” of De-Institutionalization was introduced by the modification of the Children’s Act (Act No. XXXI of 1997 on the protection of children and the administration of guardianship affairs) stating that no children under 12 years old can be placed in institutional care.</w:t>
      </w:r>
    </w:p>
  </w:footnote>
  <w:footnote w:id="40">
    <w:p w:rsidR="00164CC9" w:rsidRDefault="00164CC9">
      <w:pPr>
        <w:pStyle w:val="Lbjegyzetszveg"/>
      </w:pPr>
      <w:r>
        <w:rPr>
          <w:rStyle w:val="Lbjegyzet-hivatkozs"/>
        </w:rPr>
        <w:footnoteRef/>
      </w:r>
      <w:r>
        <w:t xml:space="preserve"> </w:t>
      </w:r>
      <w:proofErr w:type="spellStart"/>
      <w:r>
        <w:t>T</w:t>
      </w:r>
      <w:r w:rsidRPr="00164CC9">
        <w:t>here</w:t>
      </w:r>
      <w:proofErr w:type="spellEnd"/>
      <w:r w:rsidRPr="00164CC9">
        <w:t xml:space="preserve"> </w:t>
      </w:r>
      <w:proofErr w:type="gramStart"/>
      <w:r w:rsidRPr="00164CC9">
        <w:t>is</w:t>
      </w:r>
      <w:proofErr w:type="gramEnd"/>
      <w:r w:rsidRPr="00164CC9">
        <w:t xml:space="preserve"> no </w:t>
      </w:r>
      <w:proofErr w:type="spellStart"/>
      <w:r w:rsidRPr="00164CC9">
        <w:t>independent</w:t>
      </w:r>
      <w:proofErr w:type="spellEnd"/>
      <w:r w:rsidRPr="00164CC9">
        <w:t xml:space="preserve"> </w:t>
      </w:r>
      <w:proofErr w:type="spellStart"/>
      <w:r w:rsidRPr="00164CC9">
        <w:t>law</w:t>
      </w:r>
      <w:proofErr w:type="spellEnd"/>
      <w:r w:rsidRPr="00164CC9">
        <w:t xml:space="preserve"> </w:t>
      </w:r>
      <w:proofErr w:type="spellStart"/>
      <w:r w:rsidRPr="00164CC9">
        <w:t>on</w:t>
      </w:r>
      <w:proofErr w:type="spellEnd"/>
      <w:r w:rsidRPr="00164CC9">
        <w:t xml:space="preserve"> </w:t>
      </w:r>
      <w:proofErr w:type="spellStart"/>
      <w:r w:rsidRPr="00164CC9">
        <w:t>juvenile</w:t>
      </w:r>
      <w:proofErr w:type="spellEnd"/>
      <w:r w:rsidRPr="00164CC9">
        <w:t xml:space="preserve"> </w:t>
      </w:r>
      <w:proofErr w:type="spellStart"/>
      <w:r w:rsidRPr="00164CC9">
        <w:t>offenders</w:t>
      </w:r>
      <w:proofErr w:type="spellEnd"/>
      <w:r w:rsidRPr="00164CC9">
        <w:t xml:space="preserve">, </w:t>
      </w:r>
      <w:proofErr w:type="spellStart"/>
      <w:r w:rsidRPr="00164CC9">
        <w:t>neither</w:t>
      </w:r>
      <w:proofErr w:type="spellEnd"/>
      <w:r w:rsidRPr="00164CC9">
        <w:t xml:space="preserve"> is </w:t>
      </w:r>
      <w:proofErr w:type="spellStart"/>
      <w:r w:rsidRPr="00164CC9">
        <w:t>there</w:t>
      </w:r>
      <w:proofErr w:type="spellEnd"/>
      <w:r w:rsidRPr="00164CC9">
        <w:t xml:space="preserve"> a </w:t>
      </w:r>
      <w:proofErr w:type="spellStart"/>
      <w:r w:rsidRPr="00164CC9">
        <w:t>separate</w:t>
      </w:r>
      <w:proofErr w:type="spellEnd"/>
      <w:r w:rsidRPr="00164CC9">
        <w:t xml:space="preserve"> </w:t>
      </w:r>
      <w:proofErr w:type="spellStart"/>
      <w:r w:rsidRPr="00164CC9">
        <w:t>statutory</w:t>
      </w:r>
      <w:proofErr w:type="spellEnd"/>
      <w:r w:rsidRPr="00164CC9">
        <w:t xml:space="preserve"> </w:t>
      </w:r>
      <w:proofErr w:type="spellStart"/>
      <w:r w:rsidRPr="00164CC9">
        <w:t>definition</w:t>
      </w:r>
      <w:proofErr w:type="spellEnd"/>
      <w:r w:rsidRPr="00164CC9">
        <w:t xml:space="preserve"> </w:t>
      </w:r>
      <w:proofErr w:type="spellStart"/>
      <w:r w:rsidRPr="00164CC9">
        <w:t>for</w:t>
      </w:r>
      <w:proofErr w:type="spellEnd"/>
      <w:r w:rsidRPr="00164CC9">
        <w:t xml:space="preserve"> </w:t>
      </w:r>
      <w:proofErr w:type="spellStart"/>
      <w:r w:rsidRPr="00164CC9">
        <w:t>young</w:t>
      </w:r>
      <w:proofErr w:type="spellEnd"/>
      <w:r w:rsidRPr="00164CC9">
        <w:t xml:space="preserve"> </w:t>
      </w:r>
      <w:proofErr w:type="spellStart"/>
      <w:r w:rsidRPr="00164CC9">
        <w:t>adults</w:t>
      </w:r>
      <w:proofErr w:type="spellEnd"/>
      <w:r w:rsidRPr="00164CC9">
        <w:t xml:space="preserve">. </w:t>
      </w:r>
      <w:proofErr w:type="spellStart"/>
      <w:r w:rsidRPr="00164CC9">
        <w:t>Provisions</w:t>
      </w:r>
      <w:proofErr w:type="spellEnd"/>
      <w:r w:rsidRPr="00164CC9">
        <w:t xml:space="preserve"> </w:t>
      </w:r>
      <w:proofErr w:type="spellStart"/>
      <w:r w:rsidRPr="00164CC9">
        <w:t>differing</w:t>
      </w:r>
      <w:proofErr w:type="spellEnd"/>
      <w:r w:rsidRPr="00164CC9">
        <w:t xml:space="preserve"> </w:t>
      </w:r>
      <w:proofErr w:type="spellStart"/>
      <w:r w:rsidRPr="00164CC9">
        <w:t>from</w:t>
      </w:r>
      <w:proofErr w:type="spellEnd"/>
      <w:r w:rsidRPr="00164CC9">
        <w:t xml:space="preserve"> </w:t>
      </w:r>
      <w:proofErr w:type="spellStart"/>
      <w:r w:rsidRPr="00164CC9">
        <w:t>the</w:t>
      </w:r>
      <w:proofErr w:type="spellEnd"/>
      <w:r w:rsidRPr="00164CC9">
        <w:t xml:space="preserve"> </w:t>
      </w:r>
      <w:proofErr w:type="spellStart"/>
      <w:r w:rsidRPr="00164CC9">
        <w:t>general</w:t>
      </w:r>
      <w:proofErr w:type="spellEnd"/>
      <w:r w:rsidRPr="00164CC9">
        <w:t xml:space="preserve"> </w:t>
      </w:r>
      <w:proofErr w:type="spellStart"/>
      <w:r w:rsidRPr="00164CC9">
        <w:t>are</w:t>
      </w:r>
      <w:proofErr w:type="spellEnd"/>
      <w:r w:rsidRPr="00164CC9">
        <w:t xml:space="preserve"> </w:t>
      </w:r>
      <w:proofErr w:type="spellStart"/>
      <w:r w:rsidRPr="00164CC9">
        <w:t>regulated</w:t>
      </w:r>
      <w:proofErr w:type="spellEnd"/>
      <w:r w:rsidRPr="00164CC9">
        <w:t xml:space="preserve"> </w:t>
      </w:r>
      <w:proofErr w:type="spellStart"/>
      <w:r w:rsidRPr="00164CC9">
        <w:t>in</w:t>
      </w:r>
      <w:proofErr w:type="spellEnd"/>
      <w:r w:rsidRPr="00164CC9">
        <w:t xml:space="preserve"> </w:t>
      </w:r>
      <w:proofErr w:type="spellStart"/>
      <w:r w:rsidRPr="00164CC9">
        <w:t>separate</w:t>
      </w:r>
      <w:proofErr w:type="spellEnd"/>
      <w:r w:rsidRPr="00164CC9">
        <w:t xml:space="preserve"> </w:t>
      </w:r>
      <w:proofErr w:type="spellStart"/>
      <w:r w:rsidRPr="00164CC9">
        <w:t>chapters</w:t>
      </w:r>
      <w:proofErr w:type="spellEnd"/>
      <w:r w:rsidRPr="00164CC9">
        <w:t xml:space="preserve"> </w:t>
      </w:r>
      <w:proofErr w:type="spellStart"/>
      <w:r w:rsidRPr="00164CC9">
        <w:t>within</w:t>
      </w:r>
      <w:proofErr w:type="spellEnd"/>
      <w:r w:rsidRPr="00164CC9">
        <w:t xml:space="preserve"> </w:t>
      </w:r>
      <w:proofErr w:type="spellStart"/>
      <w:r w:rsidRPr="00164CC9">
        <w:t>the</w:t>
      </w:r>
      <w:proofErr w:type="spellEnd"/>
      <w:r w:rsidRPr="00164CC9">
        <w:t xml:space="preserve"> </w:t>
      </w:r>
      <w:proofErr w:type="spellStart"/>
      <w:r w:rsidRPr="00164CC9">
        <w:t>Criminal</w:t>
      </w:r>
      <w:proofErr w:type="spellEnd"/>
      <w:r w:rsidRPr="00164CC9">
        <w:t xml:space="preserve"> </w:t>
      </w:r>
      <w:proofErr w:type="spellStart"/>
      <w:r w:rsidRPr="00164CC9">
        <w:t>Code</w:t>
      </w:r>
      <w:proofErr w:type="spellEnd"/>
      <w:r w:rsidRPr="00164CC9">
        <w:t xml:space="preserve"> and </w:t>
      </w:r>
      <w:proofErr w:type="spellStart"/>
      <w:r w:rsidRPr="00164CC9">
        <w:t>the</w:t>
      </w:r>
      <w:proofErr w:type="spellEnd"/>
      <w:r w:rsidRPr="00164CC9">
        <w:t xml:space="preserve"> </w:t>
      </w:r>
      <w:proofErr w:type="spellStart"/>
      <w:r w:rsidRPr="00164CC9">
        <w:t>Criminal</w:t>
      </w:r>
      <w:proofErr w:type="spellEnd"/>
      <w:r w:rsidRPr="00164CC9">
        <w:t xml:space="preserve"> </w:t>
      </w:r>
      <w:proofErr w:type="spellStart"/>
      <w:r w:rsidRPr="00164CC9">
        <w:t>Procedural</w:t>
      </w:r>
      <w:proofErr w:type="spellEnd"/>
      <w:r w:rsidRPr="00164CC9">
        <w:t xml:space="preserve"> Law</w:t>
      </w:r>
      <w:r>
        <w:t xml:space="preserve">. </w:t>
      </w:r>
      <w:proofErr w:type="spellStart"/>
      <w:r w:rsidRPr="00164CC9">
        <w:t>With</w:t>
      </w:r>
      <w:proofErr w:type="spellEnd"/>
      <w:r w:rsidRPr="00164CC9">
        <w:t xml:space="preserve"> </w:t>
      </w:r>
      <w:proofErr w:type="spellStart"/>
      <w:r w:rsidRPr="00164CC9">
        <w:t>the</w:t>
      </w:r>
      <w:proofErr w:type="spellEnd"/>
      <w:r w:rsidRPr="00164CC9">
        <w:t xml:space="preserve"> </w:t>
      </w:r>
      <w:proofErr w:type="spellStart"/>
      <w:r w:rsidRPr="00164CC9">
        <w:t>reorganisation</w:t>
      </w:r>
      <w:proofErr w:type="spellEnd"/>
      <w:r w:rsidRPr="00164CC9">
        <w:t xml:space="preserve"> of </w:t>
      </w:r>
      <w:proofErr w:type="spellStart"/>
      <w:r w:rsidRPr="00164CC9">
        <w:t>the</w:t>
      </w:r>
      <w:proofErr w:type="spellEnd"/>
      <w:r w:rsidRPr="00164CC9">
        <w:t xml:space="preserve"> </w:t>
      </w:r>
      <w:proofErr w:type="spellStart"/>
      <w:r w:rsidRPr="00164CC9">
        <w:t>organisational</w:t>
      </w:r>
      <w:proofErr w:type="spellEnd"/>
      <w:r w:rsidRPr="00164CC9">
        <w:t xml:space="preserve"> </w:t>
      </w:r>
      <w:proofErr w:type="spellStart"/>
      <w:r w:rsidRPr="00164CC9">
        <w:t>structure</w:t>
      </w:r>
      <w:proofErr w:type="spellEnd"/>
      <w:r w:rsidRPr="00164CC9">
        <w:t xml:space="preserve"> of </w:t>
      </w:r>
      <w:proofErr w:type="spellStart"/>
      <w:r w:rsidRPr="00164CC9">
        <w:t>judges</w:t>
      </w:r>
      <w:proofErr w:type="spellEnd"/>
      <w:r w:rsidRPr="00164CC9">
        <w:t xml:space="preserve">, </w:t>
      </w:r>
      <w:proofErr w:type="spellStart"/>
      <w:r w:rsidRPr="00164CC9">
        <w:t>the</w:t>
      </w:r>
      <w:proofErr w:type="spellEnd"/>
      <w:r w:rsidRPr="00164CC9">
        <w:t xml:space="preserve"> </w:t>
      </w:r>
      <w:proofErr w:type="spellStart"/>
      <w:r w:rsidRPr="00164CC9">
        <w:t>exclusive</w:t>
      </w:r>
      <w:proofErr w:type="spellEnd"/>
      <w:r w:rsidRPr="00164CC9">
        <w:t xml:space="preserve"> </w:t>
      </w:r>
      <w:proofErr w:type="spellStart"/>
      <w:r w:rsidRPr="00164CC9">
        <w:t>jurisdiction</w:t>
      </w:r>
      <w:proofErr w:type="spellEnd"/>
      <w:r w:rsidRPr="00164CC9">
        <w:t xml:space="preserve"> of </w:t>
      </w:r>
      <w:proofErr w:type="spellStart"/>
      <w:r w:rsidRPr="00164CC9">
        <w:t>courts</w:t>
      </w:r>
      <w:proofErr w:type="spellEnd"/>
      <w:r w:rsidRPr="00164CC9">
        <w:t xml:space="preserve"> </w:t>
      </w:r>
      <w:proofErr w:type="spellStart"/>
      <w:r w:rsidRPr="00164CC9">
        <w:t>that</w:t>
      </w:r>
      <w:proofErr w:type="spellEnd"/>
      <w:r w:rsidRPr="00164CC9">
        <w:t xml:space="preserve"> </w:t>
      </w:r>
      <w:proofErr w:type="spellStart"/>
      <w:r w:rsidRPr="00164CC9">
        <w:t>used</w:t>
      </w:r>
      <w:proofErr w:type="spellEnd"/>
      <w:r w:rsidRPr="00164CC9">
        <w:t xml:space="preserve"> </w:t>
      </w:r>
      <w:proofErr w:type="spellStart"/>
      <w:r w:rsidRPr="00164CC9">
        <w:t>to</w:t>
      </w:r>
      <w:proofErr w:type="spellEnd"/>
      <w:r w:rsidRPr="00164CC9">
        <w:t xml:space="preserve"> be </w:t>
      </w:r>
      <w:proofErr w:type="spellStart"/>
      <w:r w:rsidRPr="00164CC9">
        <w:t>the</w:t>
      </w:r>
      <w:proofErr w:type="spellEnd"/>
      <w:r w:rsidRPr="00164CC9">
        <w:t xml:space="preserve"> </w:t>
      </w:r>
      <w:proofErr w:type="spellStart"/>
      <w:r w:rsidRPr="00164CC9">
        <w:t>fora</w:t>
      </w:r>
      <w:proofErr w:type="spellEnd"/>
      <w:r w:rsidRPr="00164CC9">
        <w:t xml:space="preserve"> </w:t>
      </w:r>
      <w:proofErr w:type="spellStart"/>
      <w:r w:rsidRPr="00164CC9">
        <w:t>for</w:t>
      </w:r>
      <w:proofErr w:type="spellEnd"/>
      <w:r w:rsidRPr="00164CC9">
        <w:t xml:space="preserve"> </w:t>
      </w:r>
      <w:proofErr w:type="spellStart"/>
      <w:r w:rsidRPr="00164CC9">
        <w:t>juveniles</w:t>
      </w:r>
      <w:proofErr w:type="spellEnd"/>
      <w:r w:rsidRPr="00164CC9">
        <w:t xml:space="preserve"> </w:t>
      </w:r>
      <w:proofErr w:type="spellStart"/>
      <w:r w:rsidRPr="00164CC9">
        <w:t>was</w:t>
      </w:r>
      <w:proofErr w:type="spellEnd"/>
      <w:r w:rsidRPr="00164CC9">
        <w:t xml:space="preserve"> </w:t>
      </w:r>
      <w:proofErr w:type="spellStart"/>
      <w:r w:rsidRPr="00164CC9">
        <w:t>terminated</w:t>
      </w:r>
      <w:proofErr w:type="spellEnd"/>
      <w:r>
        <w:t xml:space="preserve"> </w:t>
      </w:r>
      <w:proofErr w:type="spellStart"/>
      <w:r>
        <w:t>in</w:t>
      </w:r>
      <w:proofErr w:type="spellEnd"/>
      <w:r>
        <w:t xml:space="preserve"> 2012.</w:t>
      </w:r>
      <w:r w:rsidRPr="00164CC9">
        <w:t xml:space="preserve"> The </w:t>
      </w:r>
      <w:proofErr w:type="spellStart"/>
      <w:r w:rsidRPr="00164CC9">
        <w:t>age</w:t>
      </w:r>
      <w:proofErr w:type="spellEnd"/>
      <w:r w:rsidRPr="00164CC9">
        <w:t xml:space="preserve"> of </w:t>
      </w:r>
      <w:proofErr w:type="spellStart"/>
      <w:r w:rsidRPr="00164CC9">
        <w:t>criminal</w:t>
      </w:r>
      <w:proofErr w:type="spellEnd"/>
      <w:r w:rsidRPr="00164CC9">
        <w:t xml:space="preserve"> </w:t>
      </w:r>
      <w:proofErr w:type="spellStart"/>
      <w:r w:rsidRPr="00164CC9">
        <w:t>responsibility</w:t>
      </w:r>
      <w:proofErr w:type="spellEnd"/>
      <w:r w:rsidRPr="00164CC9">
        <w:t xml:space="preserve"> </w:t>
      </w:r>
      <w:proofErr w:type="spellStart"/>
      <w:r w:rsidRPr="00164CC9">
        <w:t>for</w:t>
      </w:r>
      <w:proofErr w:type="spellEnd"/>
      <w:r w:rsidRPr="00164CC9">
        <w:t xml:space="preserve"> </w:t>
      </w:r>
      <w:proofErr w:type="spellStart"/>
      <w:r w:rsidRPr="00164CC9">
        <w:t>some</w:t>
      </w:r>
      <w:proofErr w:type="spellEnd"/>
      <w:r w:rsidRPr="00164CC9">
        <w:t xml:space="preserve"> </w:t>
      </w:r>
      <w:proofErr w:type="spellStart"/>
      <w:r w:rsidRPr="00164CC9">
        <w:t>crimes</w:t>
      </w:r>
      <w:proofErr w:type="spellEnd"/>
      <w:r w:rsidRPr="00164CC9">
        <w:t xml:space="preserve"> (</w:t>
      </w:r>
      <w:proofErr w:type="spellStart"/>
      <w:r w:rsidRPr="00164CC9">
        <w:t>manslaughter</w:t>
      </w:r>
      <w:proofErr w:type="spellEnd"/>
      <w:r w:rsidRPr="00164CC9">
        <w:t xml:space="preserve">, </w:t>
      </w:r>
      <w:proofErr w:type="spellStart"/>
      <w:r w:rsidRPr="00164CC9">
        <w:t>assault</w:t>
      </w:r>
      <w:proofErr w:type="spellEnd"/>
      <w:r w:rsidRPr="00164CC9">
        <w:t xml:space="preserve">, </w:t>
      </w:r>
      <w:proofErr w:type="spellStart"/>
      <w:r w:rsidRPr="00164CC9">
        <w:t>robbery</w:t>
      </w:r>
      <w:proofErr w:type="spellEnd"/>
      <w:r w:rsidRPr="00164CC9">
        <w:t xml:space="preserve"> and </w:t>
      </w:r>
      <w:proofErr w:type="spellStart"/>
      <w:r w:rsidRPr="00164CC9">
        <w:t>despoilment</w:t>
      </w:r>
      <w:proofErr w:type="spellEnd"/>
      <w:r w:rsidRPr="00164CC9">
        <w:t xml:space="preserve">) has </w:t>
      </w:r>
      <w:proofErr w:type="spellStart"/>
      <w:r w:rsidRPr="00164CC9">
        <w:t>been</w:t>
      </w:r>
      <w:proofErr w:type="spellEnd"/>
      <w:r w:rsidRPr="00164CC9">
        <w:t xml:space="preserve"> </w:t>
      </w:r>
      <w:proofErr w:type="spellStart"/>
      <w:r w:rsidRPr="00164CC9">
        <w:t>reduced</w:t>
      </w:r>
      <w:proofErr w:type="spellEnd"/>
      <w:r w:rsidRPr="00164CC9">
        <w:t xml:space="preserve"> </w:t>
      </w:r>
      <w:proofErr w:type="spellStart"/>
      <w:r w:rsidRPr="00164CC9">
        <w:t>to</w:t>
      </w:r>
      <w:proofErr w:type="spellEnd"/>
      <w:r w:rsidRPr="00164CC9">
        <w:t xml:space="preserve"> 12 </w:t>
      </w:r>
      <w:proofErr w:type="spellStart"/>
      <w:r w:rsidRPr="00164CC9">
        <w:t>years</w:t>
      </w:r>
      <w:proofErr w:type="spellEnd"/>
      <w:r w:rsidRPr="00164CC9">
        <w:t xml:space="preserve"> </w:t>
      </w:r>
      <w:proofErr w:type="spellStart"/>
      <w:r w:rsidRPr="00164CC9">
        <w:t>from</w:t>
      </w:r>
      <w:proofErr w:type="spellEnd"/>
      <w:r w:rsidRPr="00164CC9">
        <w:t xml:space="preserve"> </w:t>
      </w:r>
      <w:proofErr w:type="spellStart"/>
      <w:r w:rsidRPr="00164CC9">
        <w:t>the</w:t>
      </w:r>
      <w:proofErr w:type="spellEnd"/>
      <w:r w:rsidRPr="00164CC9">
        <w:t xml:space="preserve"> </w:t>
      </w:r>
      <w:proofErr w:type="spellStart"/>
      <w:r w:rsidRPr="00164CC9">
        <w:t>earlier</w:t>
      </w:r>
      <w:proofErr w:type="spellEnd"/>
      <w:r w:rsidRPr="00164CC9">
        <w:t xml:space="preserve"> 14</w:t>
      </w:r>
      <w:r>
        <w:t>.</w:t>
      </w:r>
    </w:p>
  </w:footnote>
  <w:footnote w:id="41">
    <w:p w:rsidR="005A44A8" w:rsidRPr="007E686F" w:rsidRDefault="005A44A8">
      <w:pPr>
        <w:pStyle w:val="Lbjegyzetszveg"/>
        <w:rPr>
          <w:lang w:val="en-US"/>
        </w:rPr>
      </w:pPr>
      <w:r w:rsidRPr="007E686F">
        <w:rPr>
          <w:rStyle w:val="Lbjegyzet-hivatkozs"/>
          <w:lang w:val="en-US"/>
        </w:rPr>
        <w:footnoteRef/>
      </w:r>
      <w:r w:rsidRPr="007E686F">
        <w:rPr>
          <w:lang w:val="en-US"/>
        </w:rPr>
        <w:t xml:space="preserve"> E.g. the </w:t>
      </w:r>
      <w:r w:rsidRPr="007E686F">
        <w:rPr>
          <w:rFonts w:asciiTheme="majorHAnsi" w:hAnsiTheme="majorHAnsi"/>
          <w:lang w:val="en-US"/>
        </w:rPr>
        <w:t>National Security Services, the Counter-Terrorism Center</w:t>
      </w:r>
    </w:p>
  </w:footnote>
  <w:footnote w:id="42">
    <w:p w:rsidR="005A44A8" w:rsidRDefault="005A44A8">
      <w:pPr>
        <w:pStyle w:val="Lbjegyzetszveg"/>
      </w:pPr>
      <w:r>
        <w:rPr>
          <w:rStyle w:val="Lbjegyzet-hivatkozs"/>
        </w:rPr>
        <w:footnoteRef/>
      </w:r>
      <w:r w:rsidRPr="00CC79F7">
        <w:rPr>
          <w:rFonts w:asciiTheme="majorHAnsi" w:hAnsiTheme="majorHAnsi"/>
          <w:lang w:val="en-US"/>
        </w:rPr>
        <w:t>Act CIV of 2010 on the Freedom of the Press and the Fundamental Rules on Media Content</w:t>
      </w:r>
    </w:p>
  </w:footnote>
  <w:footnote w:id="43">
    <w:p w:rsidR="005A44A8" w:rsidRPr="003B7A05" w:rsidRDefault="005A44A8" w:rsidP="00D7117E">
      <w:pPr>
        <w:pStyle w:val="Lbjegyzetszveg"/>
        <w:rPr>
          <w:rFonts w:asciiTheme="majorHAnsi" w:hAnsiTheme="majorHAnsi"/>
        </w:rPr>
      </w:pPr>
      <w:r w:rsidRPr="003B7A05">
        <w:rPr>
          <w:rStyle w:val="Lbjegyzet-hivatkozs"/>
          <w:rFonts w:asciiTheme="majorHAnsi" w:hAnsiTheme="majorHAnsi"/>
        </w:rPr>
        <w:footnoteRef/>
      </w:r>
      <w:r w:rsidRPr="003B7A05">
        <w:rPr>
          <w:rFonts w:asciiTheme="majorHAnsi" w:hAnsiTheme="majorHAnsi" w:cs="Arial"/>
          <w:color w:val="1A1A1A"/>
          <w:lang w:eastAsia="ja-JP"/>
        </w:rPr>
        <w:t xml:space="preserve">European </w:t>
      </w:r>
      <w:proofErr w:type="spellStart"/>
      <w:r w:rsidRPr="003B7A05">
        <w:rPr>
          <w:rFonts w:asciiTheme="majorHAnsi" w:hAnsiTheme="majorHAnsi" w:cs="Arial"/>
          <w:color w:val="1A1A1A"/>
          <w:lang w:eastAsia="ja-JP"/>
        </w:rPr>
        <w:t>Parliament</w:t>
      </w:r>
      <w:proofErr w:type="spellEnd"/>
      <w:r w:rsidR="00285C04">
        <w:rPr>
          <w:rFonts w:asciiTheme="majorHAnsi" w:hAnsiTheme="majorHAnsi" w:cs="Arial"/>
          <w:color w:val="1A1A1A"/>
          <w:lang w:eastAsia="ja-JP"/>
        </w:rPr>
        <w:t xml:space="preserve"> </w:t>
      </w:r>
      <w:proofErr w:type="spellStart"/>
      <w:r w:rsidRPr="003B7A05">
        <w:rPr>
          <w:rFonts w:asciiTheme="majorHAnsi" w:hAnsiTheme="majorHAnsi" w:cs="Arial"/>
          <w:color w:val="1A1A1A"/>
          <w:lang w:eastAsia="ja-JP"/>
        </w:rPr>
        <w:t>resolution</w:t>
      </w:r>
      <w:proofErr w:type="spellEnd"/>
      <w:r w:rsidR="00285C04">
        <w:rPr>
          <w:rFonts w:asciiTheme="majorHAnsi" w:hAnsiTheme="majorHAnsi" w:cs="Arial"/>
          <w:color w:val="1A1A1A"/>
          <w:lang w:eastAsia="ja-JP"/>
        </w:rPr>
        <w:t xml:space="preserve"> </w:t>
      </w:r>
      <w:proofErr w:type="spellStart"/>
      <w:r w:rsidRPr="003B7A05">
        <w:rPr>
          <w:rFonts w:asciiTheme="majorHAnsi" w:hAnsiTheme="majorHAnsi" w:cs="Arial"/>
          <w:color w:val="1A1A1A"/>
          <w:lang w:eastAsia="ja-JP"/>
        </w:rPr>
        <w:t>on</w:t>
      </w:r>
      <w:proofErr w:type="spellEnd"/>
      <w:r w:rsidR="00285C04">
        <w:rPr>
          <w:rFonts w:asciiTheme="majorHAnsi" w:hAnsiTheme="majorHAnsi" w:cs="Arial"/>
          <w:color w:val="1A1A1A"/>
          <w:lang w:eastAsia="ja-JP"/>
        </w:rPr>
        <w:t xml:space="preserve"> </w:t>
      </w:r>
      <w:proofErr w:type="spellStart"/>
      <w:r w:rsidRPr="003B7A05">
        <w:rPr>
          <w:rFonts w:asciiTheme="majorHAnsi" w:hAnsiTheme="majorHAnsi" w:cs="Arial"/>
          <w:color w:val="1A1A1A"/>
          <w:lang w:eastAsia="ja-JP"/>
        </w:rPr>
        <w:t>the</w:t>
      </w:r>
      <w:proofErr w:type="spellEnd"/>
      <w:r w:rsidR="00285C04">
        <w:rPr>
          <w:rFonts w:asciiTheme="majorHAnsi" w:hAnsiTheme="majorHAnsi" w:cs="Arial"/>
          <w:color w:val="1A1A1A"/>
          <w:lang w:eastAsia="ja-JP"/>
        </w:rPr>
        <w:t xml:space="preserve"> </w:t>
      </w:r>
      <w:proofErr w:type="spellStart"/>
      <w:r w:rsidRPr="003B7A05">
        <w:rPr>
          <w:rFonts w:asciiTheme="majorHAnsi" w:hAnsiTheme="majorHAnsi" w:cs="Arial"/>
          <w:color w:val="1A1A1A"/>
          <w:lang w:eastAsia="ja-JP"/>
        </w:rPr>
        <w:t>situation</w:t>
      </w:r>
      <w:proofErr w:type="spellEnd"/>
      <w:r w:rsidR="00285C04">
        <w:rPr>
          <w:rFonts w:asciiTheme="majorHAnsi" w:hAnsiTheme="majorHAnsi" w:cs="Arial"/>
          <w:color w:val="1A1A1A"/>
          <w:lang w:eastAsia="ja-JP"/>
        </w:rPr>
        <w:t xml:space="preserve"> </w:t>
      </w:r>
      <w:proofErr w:type="spellStart"/>
      <w:r w:rsidRPr="003B7A05">
        <w:rPr>
          <w:rFonts w:asciiTheme="majorHAnsi" w:hAnsiTheme="majorHAnsi" w:cs="Arial"/>
          <w:color w:val="1A1A1A"/>
          <w:lang w:eastAsia="ja-JP"/>
        </w:rPr>
        <w:t>in</w:t>
      </w:r>
      <w:proofErr w:type="spellEnd"/>
      <w:r w:rsidRPr="003B7A05">
        <w:rPr>
          <w:rFonts w:asciiTheme="majorHAnsi" w:hAnsiTheme="majorHAnsi" w:cs="Arial"/>
          <w:color w:val="1A1A1A"/>
          <w:lang w:eastAsia="ja-JP"/>
        </w:rPr>
        <w:t xml:space="preserve"> Hungary (</w:t>
      </w:r>
      <w:hyperlink r:id="rId16" w:history="1">
        <w:r w:rsidRPr="003B7A05">
          <w:rPr>
            <w:rFonts w:asciiTheme="majorHAnsi" w:hAnsiTheme="majorHAnsi" w:cs="Arial"/>
            <w:color w:val="103CC0"/>
            <w:u w:val="single" w:color="103CC0"/>
            <w:lang w:eastAsia="ja-JP"/>
          </w:rPr>
          <w:t>2015/</w:t>
        </w:r>
        <w:proofErr w:type="gramStart"/>
        <w:r w:rsidRPr="003B7A05">
          <w:rPr>
            <w:rFonts w:asciiTheme="majorHAnsi" w:hAnsiTheme="majorHAnsi" w:cs="Arial"/>
            <w:color w:val="103CC0"/>
            <w:u w:val="single" w:color="103CC0"/>
            <w:lang w:eastAsia="ja-JP"/>
          </w:rPr>
          <w:t>2700(</w:t>
        </w:r>
        <w:proofErr w:type="gramEnd"/>
        <w:r w:rsidRPr="003B7A05">
          <w:rPr>
            <w:rFonts w:asciiTheme="majorHAnsi" w:hAnsiTheme="majorHAnsi" w:cs="Arial"/>
            <w:color w:val="103CC0"/>
            <w:u w:val="single" w:color="103CC0"/>
            <w:lang w:eastAsia="ja-JP"/>
          </w:rPr>
          <w:t>RSP)</w:t>
        </w:r>
      </w:hyperlink>
      <w:r w:rsidRPr="003B7A05">
        <w:rPr>
          <w:rFonts w:asciiTheme="majorHAnsi" w:hAnsiTheme="majorHAnsi" w:cs="Arial"/>
          <w:color w:val="1A1A1A"/>
          <w:lang w:eastAsia="ja-JP"/>
        </w:rPr>
        <w:t>),</w:t>
      </w:r>
      <w:hyperlink r:id="rId17" w:history="1">
        <w:r w:rsidRPr="003B7A05">
          <w:rPr>
            <w:rFonts w:asciiTheme="majorHAnsi" w:hAnsiTheme="majorHAnsi" w:cs="Arial"/>
            <w:color w:val="103CC0"/>
            <w:u w:val="single"/>
            <w:lang w:eastAsia="ja-JP"/>
          </w:rPr>
          <w:t>http://www.europarl.europa.eu/sides/getDoc.do?pubRef=-//EP//TEXT+MOTION+B8-2015-0536+0+DOC+XML+V0//EN&amp;language=en</w:t>
        </w:r>
      </w:hyperlink>
    </w:p>
  </w:footnote>
  <w:footnote w:id="44">
    <w:p w:rsidR="005A44A8" w:rsidRPr="003B7A05" w:rsidRDefault="005A44A8" w:rsidP="00D7117E">
      <w:pPr>
        <w:pStyle w:val="Lbjegyzetszveg"/>
        <w:rPr>
          <w:rFonts w:asciiTheme="majorHAnsi" w:hAnsiTheme="majorHAnsi"/>
        </w:rPr>
      </w:pPr>
      <w:r w:rsidRPr="003B7A05">
        <w:rPr>
          <w:rStyle w:val="Lbjegyzet-hivatkozs"/>
          <w:rFonts w:asciiTheme="majorHAnsi" w:hAnsiTheme="majorHAnsi"/>
        </w:rPr>
        <w:footnoteRef/>
      </w:r>
      <w:hyperlink r:id="rId18" w:history="1">
        <w:r w:rsidRPr="008252EB">
          <w:rPr>
            <w:rStyle w:val="Hiperhivatkozs"/>
            <w:rFonts w:asciiTheme="majorHAnsi" w:hAnsiTheme="majorHAnsi"/>
          </w:rPr>
          <w:t>http://www.euractiv.com/sections/justice-home-affairs/hungarian-official-admits-campaign-generate-hate-against-migrants</w:t>
        </w:r>
      </w:hyperlink>
    </w:p>
  </w:footnote>
  <w:footnote w:id="45">
    <w:p w:rsidR="005A44A8" w:rsidRPr="003B7A05" w:rsidRDefault="005A44A8" w:rsidP="00D7117E">
      <w:pPr>
        <w:widowControl w:val="0"/>
        <w:tabs>
          <w:tab w:val="left" w:pos="220"/>
          <w:tab w:val="left" w:pos="720"/>
        </w:tabs>
        <w:autoSpaceDE w:val="0"/>
        <w:autoSpaceDN w:val="0"/>
        <w:adjustRightInd w:val="0"/>
        <w:jc w:val="both"/>
        <w:rPr>
          <w:rFonts w:asciiTheme="majorHAnsi" w:hAnsiTheme="majorHAnsi" w:cs="Arial"/>
          <w:sz w:val="20"/>
          <w:szCs w:val="20"/>
          <w:lang w:eastAsia="ja-JP"/>
        </w:rPr>
      </w:pPr>
      <w:r w:rsidRPr="003B7A05">
        <w:rPr>
          <w:rStyle w:val="Lbjegyzet-hivatkozs"/>
          <w:rFonts w:asciiTheme="majorHAnsi" w:hAnsiTheme="majorHAnsi"/>
          <w:sz w:val="20"/>
          <w:szCs w:val="20"/>
        </w:rPr>
        <w:footnoteRef/>
      </w:r>
      <w:hyperlink r:id="rId19" w:history="1">
        <w:r w:rsidRPr="003B7A05">
          <w:rPr>
            <w:rFonts w:asciiTheme="majorHAnsi" w:hAnsiTheme="majorHAnsi" w:cs="Arial"/>
            <w:color w:val="103CC0"/>
            <w:sz w:val="20"/>
            <w:szCs w:val="20"/>
            <w:u w:val="single"/>
            <w:lang w:eastAsia="ja-JP"/>
          </w:rPr>
          <w:t>http://index.hu/belfold/2015/08/28/kovacs_zoltan_a_menekulteket_hibaztatja/</w:t>
        </w:r>
      </w:hyperlink>
    </w:p>
    <w:p w:rsidR="005A44A8" w:rsidRPr="003B7A05" w:rsidRDefault="005A44A8" w:rsidP="00D7117E">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75pt;height:13.5pt;visibility:visible;mso-wrap-style:square" o:bullet="t" filled="t">
        <v:fill opacity="0"/>
        <v:imagedata r:id="rId1" o:title=""/>
      </v:shape>
    </w:pict>
  </w:numPicBullet>
  <w:abstractNum w:abstractNumId="0" w15:restartNumberingAfterBreak="0">
    <w:nsid w:val="00000001"/>
    <w:multiLevelType w:val="hybridMultilevel"/>
    <w:tmpl w:val="C3088738"/>
    <w:lvl w:ilvl="0" w:tplc="00062FB0">
      <w:start w:val="1"/>
      <w:numFmt w:val="decimal"/>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A6A2D"/>
    <w:multiLevelType w:val="hybridMultilevel"/>
    <w:tmpl w:val="743A713E"/>
    <w:lvl w:ilvl="0" w:tplc="F9B43848">
      <w:numFmt w:val="bullet"/>
      <w:lvlText w:val="-"/>
      <w:lvlJc w:val="left"/>
      <w:pPr>
        <w:ind w:left="720" w:hanging="360"/>
      </w:pPr>
      <w:rPr>
        <w:rFonts w:ascii="Arial" w:eastAsia="Times New Roman" w:hAnsi="Arial" w:cs="Aria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855F64"/>
    <w:multiLevelType w:val="hybridMultilevel"/>
    <w:tmpl w:val="9370CA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6AB6FEB"/>
    <w:multiLevelType w:val="hybridMultilevel"/>
    <w:tmpl w:val="91365988"/>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08BF4690"/>
    <w:multiLevelType w:val="hybridMultilevel"/>
    <w:tmpl w:val="4118B4A4"/>
    <w:lvl w:ilvl="0" w:tplc="63923046">
      <w:start w:val="1"/>
      <w:numFmt w:val="decimal"/>
      <w:pStyle w:val="Cmsor1"/>
      <w:lvlText w:val="%1."/>
      <w:lvlJc w:val="left"/>
      <w:pPr>
        <w:ind w:left="360" w:hanging="360"/>
      </w:pPr>
      <w:rPr>
        <w:rFonts w:ascii="Cambria" w:hAnsi="Cambria" w:cs="Times New Roman" w:hint="default"/>
        <w:b/>
        <w:bCs w:val="0"/>
        <w:i w:val="0"/>
        <w:iCs w:val="0"/>
        <w:strike w:val="0"/>
        <w:color w:val="000000"/>
        <w:sz w:val="20"/>
        <w:szCs w:val="20"/>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0E55A0A"/>
    <w:multiLevelType w:val="hybridMultilevel"/>
    <w:tmpl w:val="D0CE29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4343FEE"/>
    <w:multiLevelType w:val="hybridMultilevel"/>
    <w:tmpl w:val="B3E615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3D681A"/>
    <w:multiLevelType w:val="hybridMultilevel"/>
    <w:tmpl w:val="05969332"/>
    <w:lvl w:ilvl="0" w:tplc="040E000B">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58544AF"/>
    <w:multiLevelType w:val="hybridMultilevel"/>
    <w:tmpl w:val="7BB68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04D65"/>
    <w:multiLevelType w:val="hybridMultilevel"/>
    <w:tmpl w:val="CF72F0A6"/>
    <w:lvl w:ilvl="0" w:tplc="20107A1A">
      <w:numFmt w:val="bullet"/>
      <w:lvlText w:val="-"/>
      <w:lvlJc w:val="left"/>
      <w:pPr>
        <w:ind w:left="720" w:hanging="360"/>
      </w:pPr>
      <w:rPr>
        <w:rFonts w:ascii="Calibri" w:eastAsiaTheme="minorHAnsi" w:hAnsi="Calibri" w:cs="Arial"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F0252E6"/>
    <w:multiLevelType w:val="hybridMultilevel"/>
    <w:tmpl w:val="F6281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115D46"/>
    <w:multiLevelType w:val="hybridMultilevel"/>
    <w:tmpl w:val="C362FEC8"/>
    <w:lvl w:ilvl="0" w:tplc="D4D0B644">
      <w:numFmt w:val="bullet"/>
      <w:lvlText w:val="-"/>
      <w:lvlJc w:val="left"/>
      <w:pPr>
        <w:ind w:left="720" w:hanging="360"/>
      </w:pPr>
      <w:rPr>
        <w:rFonts w:ascii="Arial" w:eastAsiaTheme="minorHAnsi" w:hAnsi="Arial" w:cs="Arial" w:hint="default"/>
        <w:b w:val="0"/>
        <w:color w:val="500050"/>
        <w:sz w:val="19"/>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1487C01"/>
    <w:multiLevelType w:val="hybridMultilevel"/>
    <w:tmpl w:val="01128B00"/>
    <w:lvl w:ilvl="0" w:tplc="8E889BA8">
      <w:numFmt w:val="bullet"/>
      <w:lvlText w:val="-"/>
      <w:lvlJc w:val="left"/>
      <w:pPr>
        <w:ind w:left="720" w:hanging="360"/>
      </w:pPr>
      <w:rPr>
        <w:rFonts w:ascii="Arial" w:eastAsiaTheme="minorHAnsi" w:hAnsi="Arial" w:cs="Arial" w:hint="default"/>
        <w:b w:val="0"/>
        <w:color w:val="500050"/>
        <w:sz w:val="19"/>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52C4A3B"/>
    <w:multiLevelType w:val="hybridMultilevel"/>
    <w:tmpl w:val="7D745FC8"/>
    <w:lvl w:ilvl="0" w:tplc="92E27AE0">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15:restartNumberingAfterBreak="0">
    <w:nsid w:val="2861406E"/>
    <w:multiLevelType w:val="hybridMultilevel"/>
    <w:tmpl w:val="E280ED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A3F6D35"/>
    <w:multiLevelType w:val="hybridMultilevel"/>
    <w:tmpl w:val="AF84FC4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5844F16"/>
    <w:multiLevelType w:val="hybridMultilevel"/>
    <w:tmpl w:val="94503380"/>
    <w:lvl w:ilvl="0" w:tplc="E0548EE0">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8833660"/>
    <w:multiLevelType w:val="hybridMultilevel"/>
    <w:tmpl w:val="2B0487C6"/>
    <w:lvl w:ilvl="0" w:tplc="7464921E">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DC61E0A"/>
    <w:multiLevelType w:val="hybridMultilevel"/>
    <w:tmpl w:val="F884A3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E5A37CC"/>
    <w:multiLevelType w:val="hybridMultilevel"/>
    <w:tmpl w:val="05FA8606"/>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B2E7090"/>
    <w:multiLevelType w:val="multilevel"/>
    <w:tmpl w:val="1E40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8817F6"/>
    <w:multiLevelType w:val="hybridMultilevel"/>
    <w:tmpl w:val="D73CD9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F8A77C3"/>
    <w:multiLevelType w:val="hybridMultilevel"/>
    <w:tmpl w:val="C5EA5C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0387D22"/>
    <w:multiLevelType w:val="hybridMultilevel"/>
    <w:tmpl w:val="B524DDB4"/>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60E61DB5"/>
    <w:multiLevelType w:val="hybridMultilevel"/>
    <w:tmpl w:val="8E283E20"/>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1792657"/>
    <w:multiLevelType w:val="hybridMultilevel"/>
    <w:tmpl w:val="47EC9E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1DE4C9E"/>
    <w:multiLevelType w:val="hybridMultilevel"/>
    <w:tmpl w:val="FE4C36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3FF085D"/>
    <w:multiLevelType w:val="hybridMultilevel"/>
    <w:tmpl w:val="1DE8C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A17EE3"/>
    <w:multiLevelType w:val="hybridMultilevel"/>
    <w:tmpl w:val="1E96A5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AD37985"/>
    <w:multiLevelType w:val="hybridMultilevel"/>
    <w:tmpl w:val="5C5A72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DB15EEB"/>
    <w:multiLevelType w:val="hybridMultilevel"/>
    <w:tmpl w:val="4FA018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F0B3B20"/>
    <w:multiLevelType w:val="hybridMultilevel"/>
    <w:tmpl w:val="CFDA78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FCA6C48"/>
    <w:multiLevelType w:val="hybridMultilevel"/>
    <w:tmpl w:val="A4A036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40373F7"/>
    <w:multiLevelType w:val="hybridMultilevel"/>
    <w:tmpl w:val="7D083198"/>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655646C"/>
    <w:multiLevelType w:val="hybridMultilevel"/>
    <w:tmpl w:val="A2EEFE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B5F4411"/>
    <w:multiLevelType w:val="hybridMultilevel"/>
    <w:tmpl w:val="F034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7177C8"/>
    <w:multiLevelType w:val="hybridMultilevel"/>
    <w:tmpl w:val="7AB0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436934"/>
    <w:multiLevelType w:val="hybridMultilevel"/>
    <w:tmpl w:val="8CE4B314"/>
    <w:lvl w:ilvl="0" w:tplc="A5566284">
      <w:start w:val="1"/>
      <w:numFmt w:val="bullet"/>
      <w:lvlText w:val=""/>
      <w:lvlPicBulletId w:val="0"/>
      <w:lvlJc w:val="left"/>
      <w:pPr>
        <w:tabs>
          <w:tab w:val="num" w:pos="720"/>
        </w:tabs>
        <w:ind w:left="720" w:hanging="360"/>
      </w:pPr>
      <w:rPr>
        <w:rFonts w:ascii="Symbol" w:hAnsi="Symbol" w:hint="default"/>
      </w:rPr>
    </w:lvl>
    <w:lvl w:ilvl="1" w:tplc="B73871C8" w:tentative="1">
      <w:start w:val="1"/>
      <w:numFmt w:val="bullet"/>
      <w:lvlText w:val=""/>
      <w:lvlJc w:val="left"/>
      <w:pPr>
        <w:tabs>
          <w:tab w:val="num" w:pos="1440"/>
        </w:tabs>
        <w:ind w:left="1440" w:hanging="360"/>
      </w:pPr>
      <w:rPr>
        <w:rFonts w:ascii="Symbol" w:hAnsi="Symbol" w:hint="default"/>
      </w:rPr>
    </w:lvl>
    <w:lvl w:ilvl="2" w:tplc="65363988" w:tentative="1">
      <w:start w:val="1"/>
      <w:numFmt w:val="bullet"/>
      <w:lvlText w:val=""/>
      <w:lvlJc w:val="left"/>
      <w:pPr>
        <w:tabs>
          <w:tab w:val="num" w:pos="2160"/>
        </w:tabs>
        <w:ind w:left="2160" w:hanging="360"/>
      </w:pPr>
      <w:rPr>
        <w:rFonts w:ascii="Symbol" w:hAnsi="Symbol" w:hint="default"/>
      </w:rPr>
    </w:lvl>
    <w:lvl w:ilvl="3" w:tplc="9236AE2E" w:tentative="1">
      <w:start w:val="1"/>
      <w:numFmt w:val="bullet"/>
      <w:lvlText w:val=""/>
      <w:lvlJc w:val="left"/>
      <w:pPr>
        <w:tabs>
          <w:tab w:val="num" w:pos="2880"/>
        </w:tabs>
        <w:ind w:left="2880" w:hanging="360"/>
      </w:pPr>
      <w:rPr>
        <w:rFonts w:ascii="Symbol" w:hAnsi="Symbol" w:hint="default"/>
      </w:rPr>
    </w:lvl>
    <w:lvl w:ilvl="4" w:tplc="9112CB80" w:tentative="1">
      <w:start w:val="1"/>
      <w:numFmt w:val="bullet"/>
      <w:lvlText w:val=""/>
      <w:lvlJc w:val="left"/>
      <w:pPr>
        <w:tabs>
          <w:tab w:val="num" w:pos="3600"/>
        </w:tabs>
        <w:ind w:left="3600" w:hanging="360"/>
      </w:pPr>
      <w:rPr>
        <w:rFonts w:ascii="Symbol" w:hAnsi="Symbol" w:hint="default"/>
      </w:rPr>
    </w:lvl>
    <w:lvl w:ilvl="5" w:tplc="8A60144A" w:tentative="1">
      <w:start w:val="1"/>
      <w:numFmt w:val="bullet"/>
      <w:lvlText w:val=""/>
      <w:lvlJc w:val="left"/>
      <w:pPr>
        <w:tabs>
          <w:tab w:val="num" w:pos="4320"/>
        </w:tabs>
        <w:ind w:left="4320" w:hanging="360"/>
      </w:pPr>
      <w:rPr>
        <w:rFonts w:ascii="Symbol" w:hAnsi="Symbol" w:hint="default"/>
      </w:rPr>
    </w:lvl>
    <w:lvl w:ilvl="6" w:tplc="9B5CBBEA" w:tentative="1">
      <w:start w:val="1"/>
      <w:numFmt w:val="bullet"/>
      <w:lvlText w:val=""/>
      <w:lvlJc w:val="left"/>
      <w:pPr>
        <w:tabs>
          <w:tab w:val="num" w:pos="5040"/>
        </w:tabs>
        <w:ind w:left="5040" w:hanging="360"/>
      </w:pPr>
      <w:rPr>
        <w:rFonts w:ascii="Symbol" w:hAnsi="Symbol" w:hint="default"/>
      </w:rPr>
    </w:lvl>
    <w:lvl w:ilvl="7" w:tplc="71F680BE" w:tentative="1">
      <w:start w:val="1"/>
      <w:numFmt w:val="bullet"/>
      <w:lvlText w:val=""/>
      <w:lvlJc w:val="left"/>
      <w:pPr>
        <w:tabs>
          <w:tab w:val="num" w:pos="5760"/>
        </w:tabs>
        <w:ind w:left="5760" w:hanging="360"/>
      </w:pPr>
      <w:rPr>
        <w:rFonts w:ascii="Symbol" w:hAnsi="Symbol" w:hint="default"/>
      </w:rPr>
    </w:lvl>
    <w:lvl w:ilvl="8" w:tplc="8346B64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D3B1A24"/>
    <w:multiLevelType w:val="hybridMultilevel"/>
    <w:tmpl w:val="0470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6"/>
  </w:num>
  <w:num w:numId="4">
    <w:abstractNumId w:val="34"/>
  </w:num>
  <w:num w:numId="5">
    <w:abstractNumId w:val="30"/>
  </w:num>
  <w:num w:numId="6">
    <w:abstractNumId w:val="2"/>
  </w:num>
  <w:num w:numId="7">
    <w:abstractNumId w:val="7"/>
  </w:num>
  <w:num w:numId="8">
    <w:abstractNumId w:val="32"/>
  </w:num>
  <w:num w:numId="9">
    <w:abstractNumId w:val="29"/>
  </w:num>
  <w:num w:numId="10">
    <w:abstractNumId w:val="21"/>
  </w:num>
  <w:num w:numId="11">
    <w:abstractNumId w:val="28"/>
  </w:num>
  <w:num w:numId="12">
    <w:abstractNumId w:val="23"/>
  </w:num>
  <w:num w:numId="13">
    <w:abstractNumId w:val="4"/>
  </w:num>
  <w:num w:numId="14">
    <w:abstractNumId w:val="38"/>
  </w:num>
  <w:num w:numId="15">
    <w:abstractNumId w:val="36"/>
  </w:num>
  <w:num w:numId="16">
    <w:abstractNumId w:val="35"/>
  </w:num>
  <w:num w:numId="17">
    <w:abstractNumId w:val="22"/>
  </w:num>
  <w:num w:numId="18">
    <w:abstractNumId w:val="9"/>
  </w:num>
  <w:num w:numId="19">
    <w:abstractNumId w:val="10"/>
  </w:num>
  <w:num w:numId="20">
    <w:abstractNumId w:val="6"/>
  </w:num>
  <w:num w:numId="21">
    <w:abstractNumId w:val="8"/>
  </w:num>
  <w:num w:numId="22">
    <w:abstractNumId w:val="27"/>
  </w:num>
  <w:num w:numId="23">
    <w:abstractNumId w:val="20"/>
  </w:num>
  <w:num w:numId="24">
    <w:abstractNumId w:val="12"/>
  </w:num>
  <w:num w:numId="25">
    <w:abstractNumId w:val="1"/>
  </w:num>
  <w:num w:numId="26">
    <w:abstractNumId w:val="11"/>
  </w:num>
  <w:num w:numId="27">
    <w:abstractNumId w:val="0"/>
  </w:num>
  <w:num w:numId="28">
    <w:abstractNumId w:val="19"/>
  </w:num>
  <w:num w:numId="29">
    <w:abstractNumId w:val="33"/>
  </w:num>
  <w:num w:numId="30">
    <w:abstractNumId w:val="15"/>
  </w:num>
  <w:num w:numId="31">
    <w:abstractNumId w:val="24"/>
  </w:num>
  <w:num w:numId="32">
    <w:abstractNumId w:val="17"/>
  </w:num>
  <w:num w:numId="33">
    <w:abstractNumId w:val="13"/>
  </w:num>
  <w:num w:numId="34">
    <w:abstractNumId w:val="16"/>
  </w:num>
  <w:num w:numId="35">
    <w:abstractNumId w:val="5"/>
  </w:num>
  <w:num w:numId="36">
    <w:abstractNumId w:val="31"/>
  </w:num>
  <w:num w:numId="37">
    <w:abstractNumId w:val="25"/>
  </w:num>
  <w:num w:numId="38">
    <w:abstractNumId w:val="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FD"/>
    <w:rsid w:val="000057CD"/>
    <w:rsid w:val="0000708E"/>
    <w:rsid w:val="00007679"/>
    <w:rsid w:val="00010918"/>
    <w:rsid w:val="0001099F"/>
    <w:rsid w:val="00013C43"/>
    <w:rsid w:val="00014C42"/>
    <w:rsid w:val="000263AC"/>
    <w:rsid w:val="000277F7"/>
    <w:rsid w:val="00040576"/>
    <w:rsid w:val="00043A6A"/>
    <w:rsid w:val="00056B92"/>
    <w:rsid w:val="00056F2D"/>
    <w:rsid w:val="00062612"/>
    <w:rsid w:val="000628DC"/>
    <w:rsid w:val="00074A08"/>
    <w:rsid w:val="0007512B"/>
    <w:rsid w:val="00086C82"/>
    <w:rsid w:val="0008798D"/>
    <w:rsid w:val="00093D3B"/>
    <w:rsid w:val="00094F49"/>
    <w:rsid w:val="000952F0"/>
    <w:rsid w:val="000979D5"/>
    <w:rsid w:val="000A05A9"/>
    <w:rsid w:val="000A5029"/>
    <w:rsid w:val="000A6B37"/>
    <w:rsid w:val="000B1412"/>
    <w:rsid w:val="000B1A6C"/>
    <w:rsid w:val="000C28E1"/>
    <w:rsid w:val="000C3030"/>
    <w:rsid w:val="000D606C"/>
    <w:rsid w:val="000E6776"/>
    <w:rsid w:val="000F2D4C"/>
    <w:rsid w:val="000F3273"/>
    <w:rsid w:val="000F7BB7"/>
    <w:rsid w:val="00102E1C"/>
    <w:rsid w:val="001058FD"/>
    <w:rsid w:val="0010716B"/>
    <w:rsid w:val="00111E7F"/>
    <w:rsid w:val="00117447"/>
    <w:rsid w:val="001176A0"/>
    <w:rsid w:val="0012259E"/>
    <w:rsid w:val="00126BE0"/>
    <w:rsid w:val="001318D6"/>
    <w:rsid w:val="00132B23"/>
    <w:rsid w:val="001354EA"/>
    <w:rsid w:val="00141C1F"/>
    <w:rsid w:val="0014329F"/>
    <w:rsid w:val="0014608A"/>
    <w:rsid w:val="00153F9C"/>
    <w:rsid w:val="00155544"/>
    <w:rsid w:val="00156B13"/>
    <w:rsid w:val="00164CC9"/>
    <w:rsid w:val="00174196"/>
    <w:rsid w:val="00175B15"/>
    <w:rsid w:val="001775A2"/>
    <w:rsid w:val="00186AC0"/>
    <w:rsid w:val="00187421"/>
    <w:rsid w:val="00190A2F"/>
    <w:rsid w:val="0019396B"/>
    <w:rsid w:val="001C0709"/>
    <w:rsid w:val="001C1735"/>
    <w:rsid w:val="001C679F"/>
    <w:rsid w:val="001D4040"/>
    <w:rsid w:val="001D778F"/>
    <w:rsid w:val="001E2F2D"/>
    <w:rsid w:val="001E556D"/>
    <w:rsid w:val="00203D1F"/>
    <w:rsid w:val="00206918"/>
    <w:rsid w:val="00207298"/>
    <w:rsid w:val="00210E66"/>
    <w:rsid w:val="0021611F"/>
    <w:rsid w:val="00223CF1"/>
    <w:rsid w:val="00223E5C"/>
    <w:rsid w:val="00224846"/>
    <w:rsid w:val="002263A9"/>
    <w:rsid w:val="00232336"/>
    <w:rsid w:val="002367B1"/>
    <w:rsid w:val="002401CB"/>
    <w:rsid w:val="00241205"/>
    <w:rsid w:val="00246FF2"/>
    <w:rsid w:val="002503A0"/>
    <w:rsid w:val="00255E9E"/>
    <w:rsid w:val="00256062"/>
    <w:rsid w:val="00273C0B"/>
    <w:rsid w:val="00282408"/>
    <w:rsid w:val="00284E3D"/>
    <w:rsid w:val="00285C04"/>
    <w:rsid w:val="00296A37"/>
    <w:rsid w:val="00296E10"/>
    <w:rsid w:val="002A3F14"/>
    <w:rsid w:val="002A72CD"/>
    <w:rsid w:val="002B2CB5"/>
    <w:rsid w:val="002C1A7E"/>
    <w:rsid w:val="00311540"/>
    <w:rsid w:val="00311C90"/>
    <w:rsid w:val="00315836"/>
    <w:rsid w:val="00326EF3"/>
    <w:rsid w:val="00334B27"/>
    <w:rsid w:val="00350E6F"/>
    <w:rsid w:val="003528BE"/>
    <w:rsid w:val="0035378F"/>
    <w:rsid w:val="0035782D"/>
    <w:rsid w:val="00360361"/>
    <w:rsid w:val="00366950"/>
    <w:rsid w:val="00374FF1"/>
    <w:rsid w:val="00381798"/>
    <w:rsid w:val="003836D9"/>
    <w:rsid w:val="003A00D1"/>
    <w:rsid w:val="003A21EF"/>
    <w:rsid w:val="003B30A4"/>
    <w:rsid w:val="003B3152"/>
    <w:rsid w:val="003B770C"/>
    <w:rsid w:val="003C5741"/>
    <w:rsid w:val="003C5A9A"/>
    <w:rsid w:val="003C6191"/>
    <w:rsid w:val="003D43A8"/>
    <w:rsid w:val="003E5A2C"/>
    <w:rsid w:val="003F64E4"/>
    <w:rsid w:val="003F7C12"/>
    <w:rsid w:val="004126B5"/>
    <w:rsid w:val="004168D9"/>
    <w:rsid w:val="004177F2"/>
    <w:rsid w:val="00420BDB"/>
    <w:rsid w:val="00432366"/>
    <w:rsid w:val="00432ABB"/>
    <w:rsid w:val="004456F7"/>
    <w:rsid w:val="004568B7"/>
    <w:rsid w:val="00457690"/>
    <w:rsid w:val="00457BAC"/>
    <w:rsid w:val="004670C8"/>
    <w:rsid w:val="00467275"/>
    <w:rsid w:val="004676FD"/>
    <w:rsid w:val="0046793A"/>
    <w:rsid w:val="0047378C"/>
    <w:rsid w:val="00475E41"/>
    <w:rsid w:val="00477376"/>
    <w:rsid w:val="00485717"/>
    <w:rsid w:val="0049232F"/>
    <w:rsid w:val="00494F93"/>
    <w:rsid w:val="004A2927"/>
    <w:rsid w:val="004B3809"/>
    <w:rsid w:val="004B48AD"/>
    <w:rsid w:val="004C0684"/>
    <w:rsid w:val="004D7998"/>
    <w:rsid w:val="004E3964"/>
    <w:rsid w:val="004E7F1A"/>
    <w:rsid w:val="005054C8"/>
    <w:rsid w:val="00506512"/>
    <w:rsid w:val="00517018"/>
    <w:rsid w:val="005212F6"/>
    <w:rsid w:val="005216BE"/>
    <w:rsid w:val="00523325"/>
    <w:rsid w:val="005316AE"/>
    <w:rsid w:val="00534E80"/>
    <w:rsid w:val="005376DA"/>
    <w:rsid w:val="00542FB7"/>
    <w:rsid w:val="00543E4D"/>
    <w:rsid w:val="005466C0"/>
    <w:rsid w:val="00555416"/>
    <w:rsid w:val="0057679E"/>
    <w:rsid w:val="00582BEA"/>
    <w:rsid w:val="005947BC"/>
    <w:rsid w:val="00596444"/>
    <w:rsid w:val="005A44A8"/>
    <w:rsid w:val="005C6039"/>
    <w:rsid w:val="005D1D7E"/>
    <w:rsid w:val="005D3C76"/>
    <w:rsid w:val="005E10B0"/>
    <w:rsid w:val="005E3D62"/>
    <w:rsid w:val="005E4153"/>
    <w:rsid w:val="005E4DBB"/>
    <w:rsid w:val="005E6518"/>
    <w:rsid w:val="005F17FD"/>
    <w:rsid w:val="005F5D98"/>
    <w:rsid w:val="00607D7F"/>
    <w:rsid w:val="0061403B"/>
    <w:rsid w:val="00624C57"/>
    <w:rsid w:val="00636D92"/>
    <w:rsid w:val="00640579"/>
    <w:rsid w:val="0064422C"/>
    <w:rsid w:val="006512B6"/>
    <w:rsid w:val="006619CF"/>
    <w:rsid w:val="00662117"/>
    <w:rsid w:val="00670334"/>
    <w:rsid w:val="006769FF"/>
    <w:rsid w:val="00684981"/>
    <w:rsid w:val="00685674"/>
    <w:rsid w:val="006A2F0F"/>
    <w:rsid w:val="006A30C4"/>
    <w:rsid w:val="006A63CA"/>
    <w:rsid w:val="006B459F"/>
    <w:rsid w:val="006C099D"/>
    <w:rsid w:val="006C0AD1"/>
    <w:rsid w:val="006C1D3E"/>
    <w:rsid w:val="006C69DC"/>
    <w:rsid w:val="006D1191"/>
    <w:rsid w:val="006D4253"/>
    <w:rsid w:val="006F1AE1"/>
    <w:rsid w:val="00702461"/>
    <w:rsid w:val="007277EE"/>
    <w:rsid w:val="00731866"/>
    <w:rsid w:val="007335F2"/>
    <w:rsid w:val="00736A56"/>
    <w:rsid w:val="0074640C"/>
    <w:rsid w:val="00747743"/>
    <w:rsid w:val="00765E6D"/>
    <w:rsid w:val="00766658"/>
    <w:rsid w:val="007704CC"/>
    <w:rsid w:val="00784F85"/>
    <w:rsid w:val="0078681F"/>
    <w:rsid w:val="007C37AD"/>
    <w:rsid w:val="007E67E0"/>
    <w:rsid w:val="007E686F"/>
    <w:rsid w:val="0080102E"/>
    <w:rsid w:val="0081065E"/>
    <w:rsid w:val="00811DCA"/>
    <w:rsid w:val="00814598"/>
    <w:rsid w:val="00822D40"/>
    <w:rsid w:val="00830AB2"/>
    <w:rsid w:val="00832FDA"/>
    <w:rsid w:val="0083601F"/>
    <w:rsid w:val="0085266A"/>
    <w:rsid w:val="00860BF0"/>
    <w:rsid w:val="00861F19"/>
    <w:rsid w:val="00862425"/>
    <w:rsid w:val="0088225A"/>
    <w:rsid w:val="00882E6B"/>
    <w:rsid w:val="008855D0"/>
    <w:rsid w:val="00894046"/>
    <w:rsid w:val="008A16B9"/>
    <w:rsid w:val="008A6F10"/>
    <w:rsid w:val="008B3985"/>
    <w:rsid w:val="008B7842"/>
    <w:rsid w:val="008C1B6C"/>
    <w:rsid w:val="008C2E99"/>
    <w:rsid w:val="008D2DB9"/>
    <w:rsid w:val="008F65B7"/>
    <w:rsid w:val="009119CE"/>
    <w:rsid w:val="009151EC"/>
    <w:rsid w:val="009238FC"/>
    <w:rsid w:val="00927EE4"/>
    <w:rsid w:val="00932C7F"/>
    <w:rsid w:val="00940FB5"/>
    <w:rsid w:val="00942DFB"/>
    <w:rsid w:val="009431CB"/>
    <w:rsid w:val="00943B29"/>
    <w:rsid w:val="0094637B"/>
    <w:rsid w:val="00951023"/>
    <w:rsid w:val="00952F6A"/>
    <w:rsid w:val="00960FAE"/>
    <w:rsid w:val="00966C4E"/>
    <w:rsid w:val="00971272"/>
    <w:rsid w:val="00990F36"/>
    <w:rsid w:val="0099485A"/>
    <w:rsid w:val="0099580C"/>
    <w:rsid w:val="009973FD"/>
    <w:rsid w:val="00997554"/>
    <w:rsid w:val="00997F76"/>
    <w:rsid w:val="009B4E15"/>
    <w:rsid w:val="009B53B4"/>
    <w:rsid w:val="009C49F7"/>
    <w:rsid w:val="009D3D28"/>
    <w:rsid w:val="009D5493"/>
    <w:rsid w:val="009D6C55"/>
    <w:rsid w:val="009D7BBE"/>
    <w:rsid w:val="009E086D"/>
    <w:rsid w:val="009E33CF"/>
    <w:rsid w:val="009E4C70"/>
    <w:rsid w:val="00A055B5"/>
    <w:rsid w:val="00A22A29"/>
    <w:rsid w:val="00A313BD"/>
    <w:rsid w:val="00A45790"/>
    <w:rsid w:val="00A47AB4"/>
    <w:rsid w:val="00A8544C"/>
    <w:rsid w:val="00A87503"/>
    <w:rsid w:val="00A93CB3"/>
    <w:rsid w:val="00AA2470"/>
    <w:rsid w:val="00AB0236"/>
    <w:rsid w:val="00AB5D1C"/>
    <w:rsid w:val="00AD11B3"/>
    <w:rsid w:val="00AD256F"/>
    <w:rsid w:val="00AD5F72"/>
    <w:rsid w:val="00AE286E"/>
    <w:rsid w:val="00AF36AD"/>
    <w:rsid w:val="00B014FE"/>
    <w:rsid w:val="00B04890"/>
    <w:rsid w:val="00B104B9"/>
    <w:rsid w:val="00B14858"/>
    <w:rsid w:val="00B408CF"/>
    <w:rsid w:val="00B41AB4"/>
    <w:rsid w:val="00B51515"/>
    <w:rsid w:val="00B547A6"/>
    <w:rsid w:val="00B56BE9"/>
    <w:rsid w:val="00B608D5"/>
    <w:rsid w:val="00B77CE8"/>
    <w:rsid w:val="00B8267F"/>
    <w:rsid w:val="00B93B23"/>
    <w:rsid w:val="00B93E4C"/>
    <w:rsid w:val="00BA5CE7"/>
    <w:rsid w:val="00BB16CF"/>
    <w:rsid w:val="00BB4B91"/>
    <w:rsid w:val="00BB5AB7"/>
    <w:rsid w:val="00BB6111"/>
    <w:rsid w:val="00BC1A10"/>
    <w:rsid w:val="00BC57F9"/>
    <w:rsid w:val="00BC5BCA"/>
    <w:rsid w:val="00BD647B"/>
    <w:rsid w:val="00BD7A00"/>
    <w:rsid w:val="00BE254D"/>
    <w:rsid w:val="00C050AD"/>
    <w:rsid w:val="00C11A93"/>
    <w:rsid w:val="00C17402"/>
    <w:rsid w:val="00C201EF"/>
    <w:rsid w:val="00C23C43"/>
    <w:rsid w:val="00C4449B"/>
    <w:rsid w:val="00C46FD7"/>
    <w:rsid w:val="00C4719D"/>
    <w:rsid w:val="00C52695"/>
    <w:rsid w:val="00C55A18"/>
    <w:rsid w:val="00C56D44"/>
    <w:rsid w:val="00C67546"/>
    <w:rsid w:val="00C818A9"/>
    <w:rsid w:val="00C83320"/>
    <w:rsid w:val="00C83653"/>
    <w:rsid w:val="00C85F43"/>
    <w:rsid w:val="00CA654F"/>
    <w:rsid w:val="00CB172F"/>
    <w:rsid w:val="00CB3F8D"/>
    <w:rsid w:val="00CB6458"/>
    <w:rsid w:val="00CC79F7"/>
    <w:rsid w:val="00CD1018"/>
    <w:rsid w:val="00CD19EE"/>
    <w:rsid w:val="00CD77BF"/>
    <w:rsid w:val="00CE4C28"/>
    <w:rsid w:val="00CF1E8B"/>
    <w:rsid w:val="00D1265E"/>
    <w:rsid w:val="00D1660E"/>
    <w:rsid w:val="00D16B96"/>
    <w:rsid w:val="00D2025A"/>
    <w:rsid w:val="00D252B0"/>
    <w:rsid w:val="00D3474D"/>
    <w:rsid w:val="00D3534A"/>
    <w:rsid w:val="00D378C3"/>
    <w:rsid w:val="00D42B83"/>
    <w:rsid w:val="00D42E79"/>
    <w:rsid w:val="00D43100"/>
    <w:rsid w:val="00D443A6"/>
    <w:rsid w:val="00D45777"/>
    <w:rsid w:val="00D4598B"/>
    <w:rsid w:val="00D52759"/>
    <w:rsid w:val="00D62A4E"/>
    <w:rsid w:val="00D7117E"/>
    <w:rsid w:val="00D76E59"/>
    <w:rsid w:val="00D827D0"/>
    <w:rsid w:val="00D9106F"/>
    <w:rsid w:val="00D91CA1"/>
    <w:rsid w:val="00D940BA"/>
    <w:rsid w:val="00D9438D"/>
    <w:rsid w:val="00D956C8"/>
    <w:rsid w:val="00DA50C6"/>
    <w:rsid w:val="00DA5C5F"/>
    <w:rsid w:val="00DB0B71"/>
    <w:rsid w:val="00DD0386"/>
    <w:rsid w:val="00DE4BC7"/>
    <w:rsid w:val="00DE686A"/>
    <w:rsid w:val="00E131D7"/>
    <w:rsid w:val="00E17BB6"/>
    <w:rsid w:val="00E238E3"/>
    <w:rsid w:val="00E32258"/>
    <w:rsid w:val="00E33E97"/>
    <w:rsid w:val="00E402F7"/>
    <w:rsid w:val="00E4042E"/>
    <w:rsid w:val="00E44DA0"/>
    <w:rsid w:val="00E44ED9"/>
    <w:rsid w:val="00E500C7"/>
    <w:rsid w:val="00E51EF3"/>
    <w:rsid w:val="00E53DEC"/>
    <w:rsid w:val="00E55A81"/>
    <w:rsid w:val="00E67467"/>
    <w:rsid w:val="00E714FD"/>
    <w:rsid w:val="00E7660B"/>
    <w:rsid w:val="00E92F06"/>
    <w:rsid w:val="00E952EA"/>
    <w:rsid w:val="00EA07EB"/>
    <w:rsid w:val="00EB0255"/>
    <w:rsid w:val="00EB1786"/>
    <w:rsid w:val="00EC5B6B"/>
    <w:rsid w:val="00ED08F7"/>
    <w:rsid w:val="00ED140D"/>
    <w:rsid w:val="00ED5363"/>
    <w:rsid w:val="00EE57D2"/>
    <w:rsid w:val="00EF3260"/>
    <w:rsid w:val="00EF74BA"/>
    <w:rsid w:val="00F03C4F"/>
    <w:rsid w:val="00F05489"/>
    <w:rsid w:val="00F12151"/>
    <w:rsid w:val="00F1506E"/>
    <w:rsid w:val="00F30AE4"/>
    <w:rsid w:val="00F344AB"/>
    <w:rsid w:val="00F35B52"/>
    <w:rsid w:val="00F379BB"/>
    <w:rsid w:val="00F57AFE"/>
    <w:rsid w:val="00F612E9"/>
    <w:rsid w:val="00F63E3A"/>
    <w:rsid w:val="00F80D77"/>
    <w:rsid w:val="00F81962"/>
    <w:rsid w:val="00F937B5"/>
    <w:rsid w:val="00F97F84"/>
    <w:rsid w:val="00FB217C"/>
    <w:rsid w:val="00FB2623"/>
    <w:rsid w:val="00FB5E32"/>
    <w:rsid w:val="00FB6947"/>
    <w:rsid w:val="00FC202C"/>
    <w:rsid w:val="00FD24AA"/>
    <w:rsid w:val="00FD60DB"/>
    <w:rsid w:val="00FE1B53"/>
    <w:rsid w:val="00FE2C60"/>
    <w:rsid w:val="00FE46C4"/>
    <w:rsid w:val="00FE4800"/>
    <w:rsid w:val="00FF3948"/>
    <w:rsid w:val="00FF6BD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038D92-8381-4175-AB5E-B8E2B8CA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24846"/>
  </w:style>
  <w:style w:type="paragraph" w:styleId="Cmsor1">
    <w:name w:val="heading 1"/>
    <w:basedOn w:val="Norml"/>
    <w:next w:val="Norml"/>
    <w:link w:val="Cmsor1Char"/>
    <w:qFormat/>
    <w:rsid w:val="00D9106F"/>
    <w:pPr>
      <w:keepNext/>
      <w:numPr>
        <w:numId w:val="13"/>
      </w:numPr>
      <w:spacing w:before="240" w:after="60" w:line="276" w:lineRule="auto"/>
      <w:outlineLvl w:val="0"/>
    </w:pPr>
    <w:rPr>
      <w:rFonts w:ascii="Times New Roman" w:eastAsia="Calibri" w:hAnsi="Times New Roman" w:cs="Times New Roman"/>
      <w:b/>
      <w:bCs/>
      <w:kern w:val="32"/>
      <w:sz w:val="32"/>
      <w:szCs w:val="32"/>
    </w:rPr>
  </w:style>
  <w:style w:type="paragraph" w:styleId="Cmsor2">
    <w:name w:val="heading 2"/>
    <w:basedOn w:val="Norml"/>
    <w:next w:val="Norml"/>
    <w:link w:val="Cmsor2Char"/>
    <w:uiPriority w:val="9"/>
    <w:unhideWhenUsed/>
    <w:qFormat/>
    <w:rsid w:val="009B53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s,Footnote Text Char,Footnote Text Char2 Char,Footnote Text Char Char1 Char,Footnote Text Char2 Char Char Char,Footnote Text Char1 Char Char Char Char,Footnote Text Char Char Char Char Char Char,(FRA) Footnote text,Footnote,fn"/>
    <w:basedOn w:val="Norml"/>
    <w:link w:val="LbjegyzetszvegChar"/>
    <w:uiPriority w:val="99"/>
    <w:unhideWhenUsed/>
    <w:qFormat/>
    <w:rsid w:val="009973FD"/>
    <w:pPr>
      <w:spacing w:after="0" w:line="240" w:lineRule="auto"/>
    </w:pPr>
    <w:rPr>
      <w:sz w:val="20"/>
      <w:szCs w:val="20"/>
    </w:rPr>
  </w:style>
  <w:style w:type="character" w:customStyle="1" w:styleId="LbjegyzetszvegChar">
    <w:name w:val="Lábjegyzetszöveg Char"/>
    <w:aliases w:val="footnotes Char,Footnote Text Char Char,Footnote Text Char2 Char Char,Footnote Text Char Char1 Char Char,Footnote Text Char2 Char Char Char Char,Footnote Text Char1 Char Char Char Char Char,(FRA) Footnote text Char,Footnote Char"/>
    <w:basedOn w:val="Bekezdsalapbettpusa"/>
    <w:link w:val="Lbjegyzetszveg"/>
    <w:uiPriority w:val="99"/>
    <w:rsid w:val="009973FD"/>
    <w:rPr>
      <w:sz w:val="20"/>
      <w:szCs w:val="20"/>
    </w:rPr>
  </w:style>
  <w:style w:type="character" w:styleId="Lbjegyzet-hivatkozs">
    <w:name w:val="footnote reference"/>
    <w:aliases w:val="Footnote Refernece,callout,Footnote Reference Superscript,Footnotes refss,Appel note de bas de p.,Footnote Reference Number,BVI fnr, BVI fnr,4_G,ftref,Fn Ref,Style 10,Footnote number,Footnote text,Footnote symbol,Footnote Reference"/>
    <w:basedOn w:val="Bekezdsalapbettpusa"/>
    <w:uiPriority w:val="99"/>
    <w:unhideWhenUsed/>
    <w:rsid w:val="009973FD"/>
    <w:rPr>
      <w:vertAlign w:val="superscript"/>
    </w:rPr>
  </w:style>
  <w:style w:type="character" w:styleId="Jegyzethivatkozs">
    <w:name w:val="annotation reference"/>
    <w:basedOn w:val="Bekezdsalapbettpusa"/>
    <w:uiPriority w:val="99"/>
    <w:semiHidden/>
    <w:unhideWhenUsed/>
    <w:rsid w:val="00BC1A10"/>
    <w:rPr>
      <w:sz w:val="16"/>
      <w:szCs w:val="16"/>
    </w:rPr>
  </w:style>
  <w:style w:type="paragraph" w:styleId="Jegyzetszveg">
    <w:name w:val="annotation text"/>
    <w:basedOn w:val="Norml"/>
    <w:link w:val="JegyzetszvegChar"/>
    <w:uiPriority w:val="99"/>
    <w:semiHidden/>
    <w:unhideWhenUsed/>
    <w:rsid w:val="00BC1A10"/>
    <w:pPr>
      <w:spacing w:line="240" w:lineRule="auto"/>
    </w:pPr>
    <w:rPr>
      <w:sz w:val="20"/>
      <w:szCs w:val="20"/>
    </w:rPr>
  </w:style>
  <w:style w:type="character" w:customStyle="1" w:styleId="JegyzetszvegChar">
    <w:name w:val="Jegyzetszöveg Char"/>
    <w:basedOn w:val="Bekezdsalapbettpusa"/>
    <w:link w:val="Jegyzetszveg"/>
    <w:uiPriority w:val="99"/>
    <w:semiHidden/>
    <w:rsid w:val="00BC1A10"/>
    <w:rPr>
      <w:sz w:val="20"/>
      <w:szCs w:val="20"/>
    </w:rPr>
  </w:style>
  <w:style w:type="paragraph" w:styleId="Megjegyzstrgya">
    <w:name w:val="annotation subject"/>
    <w:basedOn w:val="Jegyzetszveg"/>
    <w:next w:val="Jegyzetszveg"/>
    <w:link w:val="MegjegyzstrgyaChar"/>
    <w:uiPriority w:val="99"/>
    <w:semiHidden/>
    <w:unhideWhenUsed/>
    <w:rsid w:val="00BC1A10"/>
    <w:rPr>
      <w:b/>
      <w:bCs/>
    </w:rPr>
  </w:style>
  <w:style w:type="character" w:customStyle="1" w:styleId="MegjegyzstrgyaChar">
    <w:name w:val="Megjegyzés tárgya Char"/>
    <w:basedOn w:val="JegyzetszvegChar"/>
    <w:link w:val="Megjegyzstrgya"/>
    <w:uiPriority w:val="99"/>
    <w:semiHidden/>
    <w:rsid w:val="00BC1A10"/>
    <w:rPr>
      <w:b/>
      <w:bCs/>
      <w:sz w:val="20"/>
      <w:szCs w:val="20"/>
    </w:rPr>
  </w:style>
  <w:style w:type="paragraph" w:styleId="Buborkszveg">
    <w:name w:val="Balloon Text"/>
    <w:basedOn w:val="Norml"/>
    <w:link w:val="BuborkszvegChar"/>
    <w:uiPriority w:val="99"/>
    <w:semiHidden/>
    <w:unhideWhenUsed/>
    <w:rsid w:val="00BC1A1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C1A10"/>
    <w:rPr>
      <w:rFonts w:ascii="Tahoma" w:hAnsi="Tahoma" w:cs="Tahoma"/>
      <w:sz w:val="16"/>
      <w:szCs w:val="16"/>
    </w:rPr>
  </w:style>
  <w:style w:type="character" w:styleId="Hiperhivatkozs">
    <w:name w:val="Hyperlink"/>
    <w:basedOn w:val="Bekezdsalapbettpusa"/>
    <w:uiPriority w:val="99"/>
    <w:unhideWhenUsed/>
    <w:rsid w:val="00766658"/>
    <w:rPr>
      <w:color w:val="0563C1" w:themeColor="hyperlink"/>
      <w:u w:val="single"/>
    </w:rPr>
  </w:style>
  <w:style w:type="paragraph" w:styleId="Vltozat">
    <w:name w:val="Revision"/>
    <w:hidden/>
    <w:uiPriority w:val="99"/>
    <w:semiHidden/>
    <w:rsid w:val="00203D1F"/>
    <w:pPr>
      <w:spacing w:after="0" w:line="240" w:lineRule="auto"/>
    </w:pPr>
  </w:style>
  <w:style w:type="character" w:customStyle="1" w:styleId="apple-converted-space">
    <w:name w:val="apple-converted-space"/>
    <w:basedOn w:val="Bekezdsalapbettpusa"/>
    <w:rsid w:val="004D7998"/>
  </w:style>
  <w:style w:type="character" w:styleId="Kiemels2">
    <w:name w:val="Strong"/>
    <w:qFormat/>
    <w:rsid w:val="004D7998"/>
    <w:rPr>
      <w:b/>
      <w:bCs/>
    </w:rPr>
  </w:style>
  <w:style w:type="paragraph" w:styleId="Listaszerbekezds">
    <w:name w:val="List Paragraph"/>
    <w:basedOn w:val="Norml"/>
    <w:uiPriority w:val="34"/>
    <w:qFormat/>
    <w:rsid w:val="00D9106F"/>
    <w:pPr>
      <w:spacing w:after="0" w:line="240" w:lineRule="auto"/>
      <w:ind w:left="720"/>
      <w:contextualSpacing/>
      <w:jc w:val="both"/>
    </w:pPr>
    <w:rPr>
      <w:rFonts w:ascii="Calibri" w:eastAsia="Calibri" w:hAnsi="Calibri" w:cs="Times New Roman"/>
      <w:lang w:val="en-IE"/>
    </w:rPr>
  </w:style>
  <w:style w:type="table" w:styleId="Rcsostblzat">
    <w:name w:val="Table Grid"/>
    <w:basedOn w:val="Normltblzat"/>
    <w:uiPriority w:val="59"/>
    <w:rsid w:val="00D9106F"/>
    <w:pPr>
      <w:spacing w:after="0" w:line="240" w:lineRule="auto"/>
    </w:pPr>
    <w:rPr>
      <w:rFonts w:ascii="Verdana" w:hAnsi="Verdana" w:cs="Times New Roman"/>
      <w:sz w:val="15"/>
      <w:szCs w:val="1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D9106F"/>
    <w:rPr>
      <w:rFonts w:ascii="Times New Roman" w:eastAsia="Calibri" w:hAnsi="Times New Roman" w:cs="Times New Roman"/>
      <w:b/>
      <w:bCs/>
      <w:kern w:val="32"/>
      <w:sz w:val="32"/>
      <w:szCs w:val="32"/>
    </w:rPr>
  </w:style>
  <w:style w:type="character" w:customStyle="1" w:styleId="Cmsor2Char">
    <w:name w:val="Címsor 2 Char"/>
    <w:basedOn w:val="Bekezdsalapbettpusa"/>
    <w:link w:val="Cmsor2"/>
    <w:uiPriority w:val="9"/>
    <w:rsid w:val="009B53B4"/>
    <w:rPr>
      <w:rFonts w:asciiTheme="majorHAnsi" w:eastAsiaTheme="majorEastAsia" w:hAnsiTheme="majorHAnsi" w:cstheme="majorBidi"/>
      <w:color w:val="2E74B5" w:themeColor="accent1" w:themeShade="BF"/>
      <w:sz w:val="26"/>
      <w:szCs w:val="26"/>
    </w:rPr>
  </w:style>
  <w:style w:type="paragraph" w:customStyle="1" w:styleId="SingleTxtG">
    <w:name w:val="_ Single Txt_G"/>
    <w:basedOn w:val="Norml"/>
    <w:link w:val="SingleTxtGChar"/>
    <w:rsid w:val="003A21EF"/>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3A21EF"/>
    <w:rPr>
      <w:rFonts w:ascii="Times New Roman" w:eastAsia="Times New Roman" w:hAnsi="Times New Roman" w:cs="Times New Roman"/>
      <w:sz w:val="20"/>
      <w:szCs w:val="20"/>
      <w:lang w:val="en-GB"/>
    </w:rPr>
  </w:style>
  <w:style w:type="character" w:customStyle="1" w:styleId="im">
    <w:name w:val="im"/>
    <w:basedOn w:val="Bekezdsalapbettpusa"/>
    <w:rsid w:val="00360361"/>
  </w:style>
  <w:style w:type="paragraph" w:styleId="NormlWeb">
    <w:name w:val="Normal (Web)"/>
    <w:basedOn w:val="Norml"/>
    <w:uiPriority w:val="99"/>
    <w:semiHidden/>
    <w:unhideWhenUsed/>
    <w:rsid w:val="00A313B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yle-1">
    <w:name w:val="Style-1"/>
    <w:rsid w:val="0049232F"/>
    <w:pPr>
      <w:suppressAutoHyphens/>
      <w:spacing w:after="0" w:line="240" w:lineRule="auto"/>
    </w:pPr>
    <w:rPr>
      <w:rFonts w:ascii="Times New Roman" w:eastAsia="Arial" w:hAnsi="Times New Roman" w:cs="Calibri"/>
      <w:sz w:val="20"/>
      <w:szCs w:val="20"/>
      <w:lang w:val="en-US" w:eastAsia="ar-SA"/>
    </w:rPr>
  </w:style>
  <w:style w:type="paragraph" w:customStyle="1" w:styleId="Style-3">
    <w:name w:val="Style-3"/>
    <w:rsid w:val="0049232F"/>
    <w:pPr>
      <w:suppressAutoHyphens/>
      <w:spacing w:after="0" w:line="240" w:lineRule="auto"/>
    </w:pPr>
    <w:rPr>
      <w:rFonts w:ascii="Times New Roman" w:eastAsia="Arial" w:hAnsi="Times New Roman" w:cs="Times New Roman"/>
      <w:sz w:val="20"/>
      <w:szCs w:val="20"/>
      <w:lang w:val="en-US" w:eastAsia="ar-SA"/>
    </w:rPr>
  </w:style>
  <w:style w:type="paragraph" w:styleId="Cm">
    <w:name w:val="Title"/>
    <w:basedOn w:val="Norml"/>
    <w:next w:val="Norml"/>
    <w:link w:val="CmChar"/>
    <w:uiPriority w:val="10"/>
    <w:qFormat/>
    <w:rsid w:val="004923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49232F"/>
    <w:rPr>
      <w:rFonts w:asciiTheme="majorHAnsi" w:eastAsiaTheme="majorEastAsia" w:hAnsiTheme="majorHAnsi" w:cstheme="majorBidi"/>
      <w:spacing w:val="-10"/>
      <w:kern w:val="28"/>
      <w:sz w:val="56"/>
      <w:szCs w:val="56"/>
    </w:rPr>
  </w:style>
  <w:style w:type="paragraph" w:styleId="lfej">
    <w:name w:val="header"/>
    <w:basedOn w:val="Norml"/>
    <w:link w:val="lfejChar"/>
    <w:uiPriority w:val="99"/>
    <w:unhideWhenUsed/>
    <w:rsid w:val="001E2F2D"/>
    <w:pPr>
      <w:tabs>
        <w:tab w:val="center" w:pos="4680"/>
        <w:tab w:val="right" w:pos="9360"/>
      </w:tabs>
      <w:spacing w:after="0" w:line="240" w:lineRule="auto"/>
    </w:pPr>
  </w:style>
  <w:style w:type="character" w:customStyle="1" w:styleId="lfejChar">
    <w:name w:val="Élőfej Char"/>
    <w:basedOn w:val="Bekezdsalapbettpusa"/>
    <w:link w:val="lfej"/>
    <w:uiPriority w:val="99"/>
    <w:rsid w:val="001E2F2D"/>
  </w:style>
  <w:style w:type="paragraph" w:styleId="llb">
    <w:name w:val="footer"/>
    <w:basedOn w:val="Norml"/>
    <w:link w:val="llbChar"/>
    <w:uiPriority w:val="99"/>
    <w:unhideWhenUsed/>
    <w:rsid w:val="001E2F2D"/>
    <w:pPr>
      <w:tabs>
        <w:tab w:val="center" w:pos="4680"/>
        <w:tab w:val="right" w:pos="9360"/>
      </w:tabs>
      <w:spacing w:after="0" w:line="240" w:lineRule="auto"/>
    </w:pPr>
  </w:style>
  <w:style w:type="character" w:customStyle="1" w:styleId="llbChar">
    <w:name w:val="Élőláb Char"/>
    <w:basedOn w:val="Bekezdsalapbettpusa"/>
    <w:link w:val="llb"/>
    <w:uiPriority w:val="99"/>
    <w:rsid w:val="001E2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7425">
      <w:bodyDiv w:val="1"/>
      <w:marLeft w:val="0"/>
      <w:marRight w:val="0"/>
      <w:marTop w:val="0"/>
      <w:marBottom w:val="0"/>
      <w:divBdr>
        <w:top w:val="none" w:sz="0" w:space="0" w:color="auto"/>
        <w:left w:val="none" w:sz="0" w:space="0" w:color="auto"/>
        <w:bottom w:val="none" w:sz="0" w:space="0" w:color="auto"/>
        <w:right w:val="none" w:sz="0" w:space="0" w:color="auto"/>
      </w:divBdr>
    </w:div>
    <w:div w:id="865405214">
      <w:bodyDiv w:val="1"/>
      <w:marLeft w:val="0"/>
      <w:marRight w:val="0"/>
      <w:marTop w:val="0"/>
      <w:marBottom w:val="0"/>
      <w:divBdr>
        <w:top w:val="none" w:sz="0" w:space="0" w:color="auto"/>
        <w:left w:val="none" w:sz="0" w:space="0" w:color="auto"/>
        <w:bottom w:val="none" w:sz="0" w:space="0" w:color="auto"/>
        <w:right w:val="none" w:sz="0" w:space="0" w:color="auto"/>
      </w:divBdr>
    </w:div>
    <w:div w:id="1436710062">
      <w:bodyDiv w:val="1"/>
      <w:marLeft w:val="0"/>
      <w:marRight w:val="0"/>
      <w:marTop w:val="0"/>
      <w:marBottom w:val="0"/>
      <w:divBdr>
        <w:top w:val="none" w:sz="0" w:space="0" w:color="auto"/>
        <w:left w:val="none" w:sz="0" w:space="0" w:color="auto"/>
        <w:bottom w:val="none" w:sz="0" w:space="0" w:color="auto"/>
        <w:right w:val="none" w:sz="0" w:space="0" w:color="auto"/>
      </w:divBdr>
      <w:divsChild>
        <w:div w:id="1832283302">
          <w:marLeft w:val="0"/>
          <w:marRight w:val="0"/>
          <w:marTop w:val="0"/>
          <w:marBottom w:val="0"/>
          <w:divBdr>
            <w:top w:val="none" w:sz="0" w:space="0" w:color="auto"/>
            <w:left w:val="none" w:sz="0" w:space="0" w:color="auto"/>
            <w:bottom w:val="none" w:sz="0" w:space="0" w:color="auto"/>
            <w:right w:val="none" w:sz="0" w:space="0" w:color="auto"/>
          </w:divBdr>
          <w:divsChild>
            <w:div w:id="101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hyperlink" Target="http://www.patent.org.hu/" TargetMode="Externa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yperlink" Target="http://www.nane.hu/"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www.noierdek.hu/"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helsinki.hu/wp-content/uploads/Hungary_fact_sheets_20140921.pdf" TargetMode="External"/><Relationship Id="rId13" Type="http://schemas.openxmlformats.org/officeDocument/2006/relationships/hyperlink" Target="http://www.ajbh.hu/en/web/ajbh-en/opcat-reports" TargetMode="External"/><Relationship Id="rId18" Type="http://schemas.openxmlformats.org/officeDocument/2006/relationships/hyperlink" Target="http://www.euractiv.com/sections/justice-home-affairs/hungarian-official-admits-campaign-generate-hate-against-migrants" TargetMode="External"/><Relationship Id="rId3" Type="http://schemas.openxmlformats.org/officeDocument/2006/relationships/hyperlink" Target="http://helsinki.hu/wp-content/uploads/Hungary_fact_sheets_20140921.pdf" TargetMode="External"/><Relationship Id="rId7" Type="http://schemas.openxmlformats.org/officeDocument/2006/relationships/hyperlink" Target="http://helsinki.hu/wp-content/uploads/Hungary_fact_sheets_20140921.pdf" TargetMode="External"/><Relationship Id="rId12" Type="http://schemas.openxmlformats.org/officeDocument/2006/relationships/hyperlink" Target="http://avarosmindenkie.blog.hu/2013/09/12/the_criminalization_of_homelessness_in_hungary_between_2010_and" TargetMode="External"/><Relationship Id="rId17" Type="http://schemas.openxmlformats.org/officeDocument/2006/relationships/hyperlink" Target="http://www.europarl.europa.eu/sides/getDoc.do?pubRef=-//EP//TEXT+MOTION+B8-2015-0536+0+DOC+XML+V0//EN&amp;language=en" TargetMode="External"/><Relationship Id="rId2" Type="http://schemas.openxmlformats.org/officeDocument/2006/relationships/hyperlink" Target="http://helsinki.hu/wpcontent/uploads/Hungarian_NGOs_assessing_the_draft_Constitution_of_Hungary_201104141.pdf" TargetMode="External"/><Relationship Id="rId16" Type="http://schemas.openxmlformats.org/officeDocument/2006/relationships/hyperlink" Target="http://www.europarl.europa.eu/oeil/popups/ficheprocedure.do?lang=en&amp;reference=2015/2700(RSP)" TargetMode="External"/><Relationship Id="rId1" Type="http://schemas.openxmlformats.org/officeDocument/2006/relationships/hyperlink" Target="http://helsinki.hu/wpcontent/uploads/Comments_on_the_Process_of_Framing_the_New_Constitution_of_Hungary_EKI_HCLU_HHC.pdf" TargetMode="External"/><Relationship Id="rId6" Type="http://schemas.openxmlformats.org/officeDocument/2006/relationships/hyperlink" Target="http://helsinki.hu/wp-content/uploads/Main-concerns-regarding-the-Fourth-Amendment-to-the-Fundamental-Law_SUMMARY.pdf" TargetMode="External"/><Relationship Id="rId11" Type="http://schemas.openxmlformats.org/officeDocument/2006/relationships/hyperlink" Target="http://www.ohchr.org/EN/NewsEvents/Pages/DisplayNews.aspx?NewsID=13206&amp;LangID=E" TargetMode="External"/><Relationship Id="rId5" Type="http://schemas.openxmlformats.org/officeDocument/2006/relationships/hyperlink" Target="http://helsinki.hu/wp-content/uploads/Hungary_fact_sheets_20140921.pdf" TargetMode="External"/><Relationship Id="rId15" Type="http://schemas.openxmlformats.org/officeDocument/2006/relationships/hyperlink" Target="http://cfcf.hu/images/Allasfoglalas.pdf" TargetMode="External"/><Relationship Id="rId10" Type="http://schemas.openxmlformats.org/officeDocument/2006/relationships/hyperlink" Target="http://www.oecd-ilibrary.org/social-issues-migration-health/society-at-a-glance-2014_soc_glance-2014-en" TargetMode="External"/><Relationship Id="rId19" Type="http://schemas.openxmlformats.org/officeDocument/2006/relationships/hyperlink" Target="http://index.hu/belfold/2015/08/28/kovacs_zoltan_a_menekulteket_hibaztatja/" TargetMode="External"/><Relationship Id="rId4" Type="http://schemas.openxmlformats.org/officeDocument/2006/relationships/hyperlink" Target="http://tasz.hu/files/tasz/imce/2009/ekint-hclu-hhc_analysing_cc_judges_performances_2015.pdf" TargetMode="External"/><Relationship Id="rId9" Type="http://schemas.openxmlformats.org/officeDocument/2006/relationships/hyperlink" Target="http://helsinki.hu/wp-content/uploads/Timeline_of_gov_attacks_against_HU_NGOs_short_12082015.pdf" TargetMode="External"/><Relationship Id="rId14" Type="http://schemas.openxmlformats.org/officeDocument/2006/relationships/hyperlink" Target="http://www.ajbh.hu/opcat-jelentese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34193-D5DE-4FE6-98BF-006042D3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5877</Words>
  <Characters>40557</Characters>
  <Application>Microsoft Office Word</Application>
  <DocSecurity>0</DocSecurity>
  <Lines>337</Lines>
  <Paragraphs>92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Dojcsák Dalma</dc:creator>
  <cp:lastModifiedBy>Dojcsák Dalma</cp:lastModifiedBy>
  <cp:revision>26</cp:revision>
  <dcterms:created xsi:type="dcterms:W3CDTF">2015-09-21T13:14:00Z</dcterms:created>
  <dcterms:modified xsi:type="dcterms:W3CDTF">2015-09-21T15:06:00Z</dcterms:modified>
</cp:coreProperties>
</file>