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9F" w:rsidRDefault="00495E57">
      <w:pPr>
        <w:pStyle w:val="normal0"/>
        <w:jc w:val="both"/>
        <w:rPr>
          <w:rFonts w:ascii="Times New Roman" w:eastAsia="Times New Roman" w:hAnsi="Times New Roman" w:cs="Times New Roman"/>
          <w:b/>
          <w:sz w:val="24"/>
          <w:szCs w:val="24"/>
          <w:shd w:val="clear" w:color="auto" w:fill="B6D7A8"/>
        </w:rPr>
      </w:pPr>
      <w:bookmarkStart w:id="0" w:name="_GoBack"/>
      <w:bookmarkEnd w:id="0"/>
      <w:r>
        <w:rPr>
          <w:rFonts w:ascii="Times New Roman" w:eastAsia="Times New Roman" w:hAnsi="Times New Roman" w:cs="Times New Roman"/>
          <w:b/>
          <w:sz w:val="24"/>
          <w:szCs w:val="24"/>
          <w:shd w:val="clear" w:color="auto" w:fill="B6D7A8"/>
        </w:rPr>
        <w:t xml:space="preserve">Alkotmányjogi panasz-minta a </w:t>
      </w:r>
      <w:proofErr w:type="spellStart"/>
      <w:r>
        <w:rPr>
          <w:rFonts w:ascii="Times New Roman" w:eastAsia="Times New Roman" w:hAnsi="Times New Roman" w:cs="Times New Roman"/>
          <w:b/>
          <w:sz w:val="24"/>
          <w:szCs w:val="24"/>
          <w:shd w:val="clear" w:color="auto" w:fill="B6D7A8"/>
        </w:rPr>
        <w:t>külfödről</w:t>
      </w:r>
      <w:proofErr w:type="spellEnd"/>
      <w:r>
        <w:rPr>
          <w:rFonts w:ascii="Times New Roman" w:eastAsia="Times New Roman" w:hAnsi="Times New Roman" w:cs="Times New Roman"/>
          <w:b/>
          <w:sz w:val="24"/>
          <w:szCs w:val="24"/>
          <w:shd w:val="clear" w:color="auto" w:fill="B6D7A8"/>
        </w:rPr>
        <w:t xml:space="preserve"> támogatott szervezetek átláthatóságáról szóló törvény megtámadására</w:t>
      </w:r>
    </w:p>
    <w:p w:rsidR="00655F9F" w:rsidRDefault="00655F9F">
      <w:pPr>
        <w:pStyle w:val="normal0"/>
        <w:rPr>
          <w:rFonts w:ascii="Times New Roman" w:eastAsia="Times New Roman" w:hAnsi="Times New Roman" w:cs="Times New Roman"/>
          <w:b/>
          <w:sz w:val="24"/>
          <w:szCs w:val="24"/>
          <w:shd w:val="clear" w:color="auto" w:fill="B6D7A8"/>
        </w:rPr>
      </w:pPr>
    </w:p>
    <w:p w:rsidR="00655F9F" w:rsidRDefault="00495E57">
      <w:pPr>
        <w:pStyle w:val="normal0"/>
        <w:jc w:val="both"/>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b/>
          <w:sz w:val="24"/>
          <w:szCs w:val="24"/>
          <w:shd w:val="clear" w:color="auto" w:fill="B6D7A8"/>
        </w:rPr>
        <w:t xml:space="preserve">Ezt a panasz-mintát a Társaság a Szabadságjogokért és a Magyar Helsinki Bizottság jogászai készítették. Bármely érintett szervezet felhasználhatja </w:t>
      </w:r>
      <w:proofErr w:type="spellStart"/>
      <w:r>
        <w:rPr>
          <w:rFonts w:ascii="Times New Roman" w:eastAsia="Times New Roman" w:hAnsi="Times New Roman" w:cs="Times New Roman"/>
          <w:b/>
          <w:sz w:val="24"/>
          <w:szCs w:val="24"/>
          <w:shd w:val="clear" w:color="auto" w:fill="B6D7A8"/>
        </w:rPr>
        <w:t>olymódon</w:t>
      </w:r>
      <w:proofErr w:type="spellEnd"/>
      <w:r>
        <w:rPr>
          <w:rFonts w:ascii="Times New Roman" w:eastAsia="Times New Roman" w:hAnsi="Times New Roman" w:cs="Times New Roman"/>
          <w:b/>
          <w:sz w:val="24"/>
          <w:szCs w:val="24"/>
          <w:shd w:val="clear" w:color="auto" w:fill="B6D7A8"/>
        </w:rPr>
        <w:t xml:space="preserve">, hogy a mintát letölti és a megjegyzésekben foglaltaknak megfelelően, valamint azon túl, a szervezet sajátosságaihoz igazítva módosítja és kiegészíti. Örömmel vesszük, ha tájékoztatnak bennünket a </w:t>
      </w:r>
      <w:hyperlink r:id="rId8">
        <w:r>
          <w:rPr>
            <w:rFonts w:ascii="Times New Roman" w:eastAsia="Times New Roman" w:hAnsi="Times New Roman" w:cs="Times New Roman"/>
            <w:b/>
            <w:sz w:val="24"/>
            <w:szCs w:val="24"/>
            <w:u w:val="single"/>
            <w:shd w:val="clear" w:color="auto" w:fill="B6D7A8"/>
          </w:rPr>
          <w:t>civiltorveny@tasz.hu</w:t>
        </w:r>
      </w:hyperlink>
      <w:r>
        <w:rPr>
          <w:rFonts w:ascii="Times New Roman" w:eastAsia="Times New Roman" w:hAnsi="Times New Roman" w:cs="Times New Roman"/>
          <w:b/>
          <w:sz w:val="24"/>
          <w:szCs w:val="24"/>
          <w:shd w:val="clear" w:color="auto" w:fill="B6D7A8"/>
        </w:rPr>
        <w:t xml:space="preserve"> </w:t>
      </w:r>
      <w:proofErr w:type="spellStart"/>
      <w:r>
        <w:rPr>
          <w:rFonts w:ascii="Times New Roman" w:eastAsia="Times New Roman" w:hAnsi="Times New Roman" w:cs="Times New Roman"/>
          <w:b/>
          <w:sz w:val="24"/>
          <w:szCs w:val="24"/>
          <w:shd w:val="clear" w:color="auto" w:fill="B6D7A8"/>
        </w:rPr>
        <w:t>emailcímen</w:t>
      </w:r>
      <w:proofErr w:type="spellEnd"/>
      <w:r>
        <w:rPr>
          <w:rFonts w:ascii="Times New Roman" w:eastAsia="Times New Roman" w:hAnsi="Times New Roman" w:cs="Times New Roman"/>
          <w:b/>
          <w:sz w:val="24"/>
          <w:szCs w:val="24"/>
          <w:shd w:val="clear" w:color="auto" w:fill="B6D7A8"/>
        </w:rPr>
        <w:t xml:space="preserve"> arról, ha használták az itt közzétett mintát. </w:t>
      </w:r>
    </w:p>
    <w:p w:rsidR="00655F9F" w:rsidRDefault="00655F9F">
      <w:pPr>
        <w:pStyle w:val="normal0"/>
        <w:rPr>
          <w:rFonts w:ascii="Times New Roman" w:eastAsia="Times New Roman" w:hAnsi="Times New Roman" w:cs="Times New Roman"/>
          <w:sz w:val="24"/>
          <w:szCs w:val="24"/>
        </w:rPr>
      </w:pPr>
    </w:p>
    <w:p w:rsidR="00655F9F" w:rsidRDefault="00655F9F">
      <w:pPr>
        <w:pStyle w:val="normal0"/>
        <w:rPr>
          <w:rFonts w:ascii="Times New Roman" w:eastAsia="Times New Roman" w:hAnsi="Times New Roman" w:cs="Times New Roman"/>
          <w:sz w:val="24"/>
          <w:szCs w:val="24"/>
        </w:rPr>
      </w:pPr>
    </w:p>
    <w:p w:rsidR="00655F9F" w:rsidRDefault="00655F9F">
      <w:pPr>
        <w:pStyle w:val="normal0"/>
        <w:rPr>
          <w:rFonts w:ascii="Times New Roman" w:eastAsia="Times New Roman" w:hAnsi="Times New Roman" w:cs="Times New Roman"/>
          <w:sz w:val="24"/>
          <w:szCs w:val="24"/>
        </w:rPr>
      </w:pPr>
    </w:p>
    <w:p w:rsidR="00655F9F" w:rsidRDefault="00495E57">
      <w:pPr>
        <w:pStyle w:val="normal0"/>
        <w:rPr>
          <w:rFonts w:ascii="Times New Roman" w:eastAsia="Times New Roman" w:hAnsi="Times New Roman" w:cs="Times New Roman"/>
          <w:sz w:val="24"/>
          <w:szCs w:val="24"/>
        </w:rPr>
      </w:pPr>
      <w:commentRangeStart w:id="1"/>
      <w:r>
        <w:rPr>
          <w:rFonts w:ascii="Times New Roman" w:eastAsia="Times New Roman" w:hAnsi="Times New Roman" w:cs="Times New Roman"/>
          <w:sz w:val="24"/>
          <w:szCs w:val="24"/>
        </w:rPr>
        <w:t>Alkotmánybíróság</w:t>
      </w:r>
    </w:p>
    <w:p w:rsidR="00655F9F" w:rsidRDefault="00495E5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1015 Budapest</w:t>
      </w:r>
    </w:p>
    <w:p w:rsidR="00655F9F" w:rsidRDefault="00495E5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Donáti u. 35-45.</w:t>
      </w:r>
      <w:commentRangeEnd w:id="1"/>
      <w:r>
        <w:commentReference w:id="1"/>
      </w:r>
    </w:p>
    <w:p w:rsidR="00655F9F" w:rsidRDefault="00655F9F">
      <w:pPr>
        <w:pStyle w:val="normal0"/>
        <w:rPr>
          <w:rFonts w:ascii="Times New Roman" w:eastAsia="Times New Roman" w:hAnsi="Times New Roman" w:cs="Times New Roman"/>
          <w:sz w:val="24"/>
          <w:szCs w:val="24"/>
        </w:rPr>
      </w:pPr>
    </w:p>
    <w:p w:rsidR="00655F9F" w:rsidRDefault="00495E5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Tisztelt Alkotmánybíróság!</w:t>
      </w:r>
    </w:p>
    <w:p w:rsidR="00655F9F" w:rsidRDefault="00655F9F">
      <w:pPr>
        <w:pStyle w:val="normal0"/>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commentRangeStart w:id="2"/>
      <w:r>
        <w:rPr>
          <w:rFonts w:ascii="Times New Roman" w:eastAsia="Times New Roman" w:hAnsi="Times New Roman" w:cs="Times New Roman"/>
          <w:sz w:val="24"/>
          <w:szCs w:val="24"/>
        </w:rPr>
        <w:t>SZERVEZET NEVE (NYILVÁNTARTÓ BÍRÓSÁG MEGNEVEZÉSE, NYILVÁNTARTÁSI SZÁM, SZÉKHELY, KÉPVISELŐ NEVE)</w:t>
      </w:r>
      <w:commentRangeEnd w:id="2"/>
      <w:r>
        <w:commentReference w:id="2"/>
      </w:r>
      <w:r>
        <w:rPr>
          <w:rFonts w:ascii="Times New Roman" w:eastAsia="Times New Roman" w:hAnsi="Times New Roman" w:cs="Times New Roman"/>
          <w:sz w:val="24"/>
          <w:szCs w:val="24"/>
        </w:rPr>
        <w:t xml:space="preserve"> nevében</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Alkotmánybíróságról szóló 2011. évi CLI. törvény (a továbbiakban: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26. § (2) bekezdése alapján az alábbi</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alkotmányjogi panaszt</w:t>
      </w:r>
    </w:p>
    <w:p w:rsidR="00655F9F" w:rsidRDefault="00655F9F">
      <w:pPr>
        <w:pStyle w:val="normal0"/>
        <w:rPr>
          <w:rFonts w:ascii="Times New Roman" w:eastAsia="Times New Roman" w:hAnsi="Times New Roman" w:cs="Times New Roman"/>
          <w:sz w:val="24"/>
          <w:szCs w:val="24"/>
        </w:rPr>
      </w:pPr>
    </w:p>
    <w:p w:rsidR="00655F9F" w:rsidRDefault="00495E5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terjesztjük elő.</w:t>
      </w:r>
    </w:p>
    <w:p w:rsidR="00655F9F" w:rsidRDefault="00655F9F">
      <w:pPr>
        <w:pStyle w:val="normal0"/>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Elsődlegesen kérjük a Tisztelt Alkotmánybíróságot, hogy állapítsa meg, hogy a külföldről támogatott szervezetek átláthatóságáról szóló 2017. évi LXXVI. törvény (a továbbiakban: Törvény) egésze ellentétes az Alaptörvény VI. cikkének (1) bekezdésével, VIII. cikk (2) bekezdésével és a IX. cikk (1) és (2) bekezdésével, valamint az e cikkekben biztosított jogokra tekintettel a XV. cikk (1) és (2) bekezdésével, és semmisítse meg azt, vagy ha a Törvény egészének megsemmisítését nem találja indokoltnak, akkor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másodlagosan kérjük a Tisztelt Alkotmánybíróságot, hogy állapítsa meg, hogy a Törvény 1. § (1) bekezdése, 2. § (1), (2), (3), (4) és (5) bekezdése, 3.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valamint a civil szervezetek </w:t>
      </w:r>
      <w:proofErr w:type="spellStart"/>
      <w:r>
        <w:rPr>
          <w:rFonts w:ascii="Times New Roman" w:eastAsia="Times New Roman" w:hAnsi="Times New Roman" w:cs="Times New Roman"/>
          <w:sz w:val="24"/>
          <w:szCs w:val="24"/>
        </w:rPr>
        <w:t>bi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nyilva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ntarta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́l és az ezzel ö</w:t>
      </w:r>
      <w:proofErr w:type="spellStart"/>
      <w:r>
        <w:rPr>
          <w:rFonts w:ascii="Times New Roman" w:eastAsia="Times New Roman" w:hAnsi="Times New Roman" w:cs="Times New Roman"/>
          <w:sz w:val="24"/>
          <w:szCs w:val="24"/>
        </w:rPr>
        <w:t>sszefu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elja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szaba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lyokro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szo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2011. é</w:t>
      </w:r>
      <w:proofErr w:type="spellStart"/>
      <w:r>
        <w:rPr>
          <w:rFonts w:ascii="Times New Roman" w:eastAsia="Times New Roman" w:hAnsi="Times New Roman" w:cs="Times New Roman"/>
          <w:sz w:val="24"/>
          <w:szCs w:val="24"/>
        </w:rPr>
        <w:t>vi</w:t>
      </w:r>
      <w:proofErr w:type="spellEnd"/>
      <w:r>
        <w:rPr>
          <w:rFonts w:ascii="Times New Roman" w:eastAsia="Times New Roman" w:hAnsi="Times New Roman" w:cs="Times New Roman"/>
          <w:sz w:val="24"/>
          <w:szCs w:val="24"/>
        </w:rPr>
        <w:t xml:space="preserve"> CLXXXI.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(a továbbiakban: </w:t>
      </w:r>
      <w:proofErr w:type="spellStart"/>
      <w:r>
        <w:rPr>
          <w:rFonts w:ascii="Times New Roman" w:eastAsia="Times New Roman" w:hAnsi="Times New Roman" w:cs="Times New Roman"/>
          <w:sz w:val="24"/>
          <w:szCs w:val="24"/>
        </w:rPr>
        <w:t>Cnytv</w:t>
      </w:r>
      <w:proofErr w:type="spellEnd"/>
      <w:r>
        <w:rPr>
          <w:rFonts w:ascii="Times New Roman" w:eastAsia="Times New Roman" w:hAnsi="Times New Roman" w:cs="Times New Roman"/>
          <w:sz w:val="24"/>
          <w:szCs w:val="24"/>
        </w:rPr>
        <w:t>.) 94. § (1) bekezdés h) pontja és 95. § e) pontja - az Alaptörvény I. cikk (3) és (4) bekezdésére is tekintettel - ellentétes az Alaptörvény VI. cikkének (1) és (2) bekezdésével, VIII. cikk (2) bekezdésével és a IX. cikk (1) és (2) bekezdésével, valamint az e cikkekben biztosított jogokra tekintettel a XV. cikk (1) és (2) bekezdésével, és semmisítse meg azokat.</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Álláspontunk szerint a Törvény egészének szabályozási koncepciója is Alaptörvény-ellenes, ezért indítványozzuk elsődlegesen a Törvény egészének megsemmisítését. Különösen igaz ez a Törvény diszkriminatív voltával kapcsolatban, amely Alaptörvény-sértés elsősorban a Törvény egészének a megsemmisítésével orvosolható. Ugyanakkor megjegyezzük, hogy amennyiben az Alkotmánybíróság csak a másodlagos kérelmünkben megjelölt szakaszokat semmisíti meg, a Törvénynek az azon felül megmaradó rendelkezései értelmetlenek volnának.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Indítványunk alátámasztásául az alábbiakat adjuk elő.</w:t>
      </w:r>
    </w:p>
    <w:p w:rsidR="00655F9F" w:rsidRDefault="00655F9F">
      <w:pPr>
        <w:pStyle w:val="normal0"/>
        <w:rPr>
          <w:rFonts w:ascii="Times New Roman" w:eastAsia="Times New Roman" w:hAnsi="Times New Roman" w:cs="Times New Roman"/>
          <w:sz w:val="24"/>
          <w:szCs w:val="24"/>
        </w:rPr>
      </w:pPr>
    </w:p>
    <w:p w:rsidR="00655F9F" w:rsidRDefault="00495E57">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Az indítványozói jogosultság és a befogadhatóság</w:t>
      </w:r>
    </w:p>
    <w:p w:rsidR="00655F9F" w:rsidRDefault="00655F9F">
      <w:pPr>
        <w:pStyle w:val="normal0"/>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color w:val="505A61"/>
          <w:sz w:val="24"/>
          <w:szCs w:val="24"/>
          <w:highlight w:val="white"/>
        </w:rPr>
      </w:pPr>
      <w:r>
        <w:rPr>
          <w:rFonts w:ascii="Times New Roman" w:eastAsia="Times New Roman" w:hAnsi="Times New Roman" w:cs="Times New Roman"/>
          <w:sz w:val="24"/>
          <w:szCs w:val="24"/>
        </w:rPr>
        <w:t xml:space="preserve">I.1. Indítványunkat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xml:space="preserve">. 26. § (2) bekezdése alapján terjesztjük elő, amely szerint az érintett személy vagy szervezet az Alkotmánybíróság eljárását akkor kezdeményezheti az Alaptörvény 24. cikk (2) bekezdés c) pontja alapján, ha az alaptörvény-ellenes jogszabály rendelkezésének alkalmazása vagy </w:t>
      </w:r>
      <w:proofErr w:type="spellStart"/>
      <w:r>
        <w:rPr>
          <w:rFonts w:ascii="Times New Roman" w:eastAsia="Times New Roman" w:hAnsi="Times New Roman" w:cs="Times New Roman"/>
          <w:sz w:val="24"/>
          <w:szCs w:val="24"/>
        </w:rPr>
        <w:t>hatályosulása</w:t>
      </w:r>
      <w:proofErr w:type="spellEnd"/>
      <w:r>
        <w:rPr>
          <w:rFonts w:ascii="Times New Roman" w:eastAsia="Times New Roman" w:hAnsi="Times New Roman" w:cs="Times New Roman"/>
          <w:sz w:val="24"/>
          <w:szCs w:val="24"/>
        </w:rPr>
        <w:t xml:space="preserve"> folytán közvetlenül, bírói döntés nélkül következett be a jogsérelem, és nincs a jogsérelem orvoslására szolgáló jogorvoslati eljárás, vagy a jogorvoslati lehetőségeit az indítványozó már kimerítette.</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Alkotmánybíróság az érintettség törvényi követelményének értelmezéséhez a Német Szövetségi Alkotmánybíróság által kidolgozott dogmatikát vette alapul, amikor az érintettség kritériumát annak </w:t>
      </w:r>
      <w:r>
        <w:rPr>
          <w:rFonts w:ascii="Times New Roman" w:eastAsia="Times New Roman" w:hAnsi="Times New Roman" w:cs="Times New Roman"/>
          <w:i/>
          <w:sz w:val="24"/>
          <w:szCs w:val="24"/>
        </w:rPr>
        <w:t>személyes, közvetlen és aktuális</w:t>
      </w:r>
      <w:r>
        <w:rPr>
          <w:rFonts w:ascii="Times New Roman" w:eastAsia="Times New Roman" w:hAnsi="Times New Roman" w:cs="Times New Roman"/>
          <w:sz w:val="24"/>
          <w:szCs w:val="24"/>
        </w:rPr>
        <w:t xml:space="preserve"> voltában konkretizálta. Eszerint közvetlen alkotmányjogi panasz esetében akkor beszélhetünk közvetlen érintettségről, ha a támadott jogszabály a panaszos alapjogi pozícióját önmagában - további jogi aktusok meghozatala nélkül is - megváltoztatja. Ha tehát a jogszabály </w:t>
      </w:r>
      <w:proofErr w:type="spellStart"/>
      <w:r>
        <w:rPr>
          <w:rFonts w:ascii="Times New Roman" w:eastAsia="Times New Roman" w:hAnsi="Times New Roman" w:cs="Times New Roman"/>
          <w:sz w:val="24"/>
          <w:szCs w:val="24"/>
        </w:rPr>
        <w:t>hatályosulása</w:t>
      </w:r>
      <w:proofErr w:type="spellEnd"/>
      <w:r>
        <w:rPr>
          <w:rFonts w:ascii="Times New Roman" w:eastAsia="Times New Roman" w:hAnsi="Times New Roman" w:cs="Times New Roman"/>
          <w:sz w:val="24"/>
          <w:szCs w:val="24"/>
        </w:rPr>
        <w:t xml:space="preserve"> önmagában nem, csak további - a támadott jogszabályon alapuló - egyedi aktusok alkalmazásával vezet egyedi alapjogsérelemhez, a panaszos köteles az adott egyedi aktus meghozatalát bevárni, és az egyedi aktussal szemben jogorvoslattal élni. Nem ilyen megszorító azonban a közvetlen érintettség értelmezése a német gyakorlatban akkor, ha a bevárandó egyedi aktus olyan következményt tartogat, amelynek elszenvedése a panaszostól nem várható el. [A német gyakorlatban lásd például: </w:t>
      </w:r>
      <w:proofErr w:type="spellStart"/>
      <w:r>
        <w:rPr>
          <w:rFonts w:ascii="Times New Roman" w:eastAsia="Times New Roman" w:hAnsi="Times New Roman" w:cs="Times New Roman"/>
          <w:sz w:val="24"/>
          <w:szCs w:val="24"/>
        </w:rPr>
        <w:t>BVerfGE</w:t>
      </w:r>
      <w:proofErr w:type="spellEnd"/>
      <w:r>
        <w:rPr>
          <w:rFonts w:ascii="Times New Roman" w:eastAsia="Times New Roman" w:hAnsi="Times New Roman" w:cs="Times New Roman"/>
          <w:sz w:val="24"/>
          <w:szCs w:val="24"/>
        </w:rPr>
        <w:t xml:space="preserve"> 122, 342 (355), </w:t>
      </w:r>
      <w:proofErr w:type="spellStart"/>
      <w:r>
        <w:rPr>
          <w:rFonts w:ascii="Times New Roman" w:eastAsia="Times New Roman" w:hAnsi="Times New Roman" w:cs="Times New Roman"/>
          <w:sz w:val="24"/>
          <w:szCs w:val="24"/>
        </w:rPr>
        <w:t>BVerfGE</w:t>
      </w:r>
      <w:proofErr w:type="spellEnd"/>
      <w:r>
        <w:rPr>
          <w:rFonts w:ascii="Times New Roman" w:eastAsia="Times New Roman" w:hAnsi="Times New Roman" w:cs="Times New Roman"/>
          <w:sz w:val="24"/>
          <w:szCs w:val="24"/>
        </w:rPr>
        <w:t xml:space="preserve"> 20, 283 (290); 46, 246 (256); 81, 70 (82); 97, 157 (165).]</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szintén az egyéni jogsérelmek miatti panaszok alapján eljáró Emberi Jogok Európai Bírósága gyakorlata alapján is arra a következtetésre juthatunk, hogy a hasonló esetekben a panaszos érintettsége fennáll akkor is, ha a panasz benyújtásakor még ténylegesen nem került alkalmazásra az alapjogot sértő szabály. A Bíróság a befogadhatóság kérdésében úgy foglalt állást, hogy a panaszos érintettsége elfogadható, amennyiben az állítólagos jogsérelem a közeli jövőben bizonyosan bekövetkezik. A Bíróság különösen akkor tartja befogadhatóak az ilyen indítványokat, ha a panaszos érdekei </w:t>
      </w:r>
      <w:proofErr w:type="spellStart"/>
      <w:r>
        <w:rPr>
          <w:rFonts w:ascii="Times New Roman" w:eastAsia="Times New Roman" w:hAnsi="Times New Roman" w:cs="Times New Roman"/>
          <w:sz w:val="24"/>
          <w:szCs w:val="24"/>
        </w:rPr>
        <w:t>enélkül</w:t>
      </w:r>
      <w:proofErr w:type="spellEnd"/>
      <w:r>
        <w:rPr>
          <w:rFonts w:ascii="Times New Roman" w:eastAsia="Times New Roman" w:hAnsi="Times New Roman" w:cs="Times New Roman"/>
          <w:sz w:val="24"/>
          <w:szCs w:val="24"/>
        </w:rPr>
        <w:t xml:space="preserve"> helyrehozhatatlan sérelmet szenvednének, mert ilyenkor a befogadás szükséges ahhoz, hogy az Egyezmény szerinti jogvédelmi </w:t>
      </w:r>
      <w:r>
        <w:rPr>
          <w:rFonts w:ascii="Times New Roman" w:eastAsia="Times New Roman" w:hAnsi="Times New Roman" w:cs="Times New Roman"/>
          <w:sz w:val="24"/>
          <w:szCs w:val="24"/>
        </w:rPr>
        <w:lastRenderedPageBreak/>
        <w:t xml:space="preserve">intézményrendszer hatékonyan legyen képes működni. (Lásd pl. </w:t>
      </w:r>
      <w:proofErr w:type="spellStart"/>
      <w:r>
        <w:rPr>
          <w:rFonts w:ascii="Times New Roman" w:eastAsia="Times New Roman" w:hAnsi="Times New Roman" w:cs="Times New Roman"/>
          <w:i/>
          <w:sz w:val="24"/>
          <w:szCs w:val="24"/>
        </w:rPr>
        <w:t>Segi</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Others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Decision</w:t>
      </w:r>
      <w:proofErr w:type="spellEnd"/>
      <w:r>
        <w:rPr>
          <w:rFonts w:ascii="Times New Roman" w:eastAsia="Times New Roman" w:hAnsi="Times New Roman" w:cs="Times New Roman"/>
          <w:sz w:val="24"/>
          <w:szCs w:val="24"/>
        </w:rPr>
        <w:t xml:space="preserve"> of 23 May 2002.)</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Alkotmánybíróság az érintettség személyes, közvetlen és aktuális voltát érintő jogértelmezésében követi a fenti értelmezést [lásd elsősorban a 3007/2012. (VI. 21.) AB végzést [4], a 3114/2012 (VII. 26.) AB végzést [5] és a 24/2014. (VII. 22.) AB határozatot.] Ugyanez derül ki a 33/2012. (VII. 17.) AB határozatában megfogalmazottakból is, amely határozatban az Alkotmánybíróság az érintettség kérdésében úgy foglalt állást, hogy az érintettség abban az esetben is megállapítható, ha jogszabály alkalmazására, érvényesítésére szolgáló cselekmények még nem történtek, de jogszabály erejénél fogva olyan jogi helyzet keletkezett, amelyből egyértelműen következik, hogy a panaszolt jogsérelem közvetlenül belátható időn belül kényszerítően bekövetkezik [66. bekezdés].</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a támadott Törvény szerinti jogkorlátozások közvetlen érintettje. A támadott Törvény 1. § (1) bekezdése szerint a Törvény alkalmazásában külföldről támogatott szervezetnek minősül az </w:t>
      </w:r>
      <w:proofErr w:type="spellStart"/>
      <w:r>
        <w:rPr>
          <w:rFonts w:ascii="Times New Roman" w:eastAsia="Times New Roman" w:hAnsi="Times New Roman" w:cs="Times New Roman"/>
          <w:sz w:val="24"/>
          <w:szCs w:val="24"/>
        </w:rPr>
        <w:t>az</w:t>
      </w:r>
      <w:proofErr w:type="spellEnd"/>
      <w:r>
        <w:rPr>
          <w:rFonts w:ascii="Times New Roman" w:eastAsia="Times New Roman" w:hAnsi="Times New Roman" w:cs="Times New Roman"/>
          <w:sz w:val="24"/>
          <w:szCs w:val="24"/>
        </w:rPr>
        <w:t xml:space="preserve"> egyesület és alapítvány, amely a (2) bekezdésében meghatározott juttatásban részesül. A (2) bekezdés értelmében támogatásnak minősül jogcímétől függetlenül a közvetlenül vagy közvetve külföldről származó mindazon pénzbeli vagy egyéb vagyoni jellegű juttatás, amely egy adóévben egyenként vagy összesítve eléri a pénzmosás és a terrorizmus finanszírozása megelőzéséről és megakadályozásáról szóló 2017. évi LIII. törvény 6. § (1) bekezdés b) pontjában meghatározott összeg kétszeresét. </w:t>
      </w:r>
    </w:p>
    <w:p w:rsidR="00655F9F" w:rsidRDefault="00655F9F">
      <w:pPr>
        <w:pStyle w:val="normal0"/>
        <w:jc w:val="both"/>
        <w:rPr>
          <w:rFonts w:ascii="Times New Roman" w:eastAsia="Times New Roman" w:hAnsi="Times New Roman" w:cs="Times New Roman"/>
          <w:sz w:val="24"/>
          <w:szCs w:val="24"/>
          <w:highlight w:val="yellow"/>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megfelel a fenti feltételeknek. </w:t>
      </w:r>
      <w:commentRangeStart w:id="3"/>
      <w:r>
        <w:rPr>
          <w:rFonts w:ascii="Times New Roman" w:eastAsia="Times New Roman" w:hAnsi="Times New Roman" w:cs="Times New Roman"/>
          <w:sz w:val="24"/>
          <w:szCs w:val="24"/>
        </w:rPr>
        <w:t>Alapítványként/Egyesületként</w:t>
      </w:r>
      <w:commentRangeEnd w:id="3"/>
      <w:r>
        <w:commentReference w:id="3"/>
      </w:r>
      <w:r>
        <w:rPr>
          <w:rFonts w:ascii="Times New Roman" w:eastAsia="Times New Roman" w:hAnsi="Times New Roman" w:cs="Times New Roman"/>
          <w:sz w:val="24"/>
          <w:szCs w:val="24"/>
        </w:rPr>
        <w:t xml:space="preserve"> működik, és 2017-ben már részesült a Törvény szerinti külföldi támogatásban 7,2 millió forintot elérő vagy meghaladó értékben. </w:t>
      </w:r>
    </w:p>
    <w:p w:rsidR="00655F9F" w:rsidRDefault="00655F9F">
      <w:pPr>
        <w:pStyle w:val="normal0"/>
        <w:jc w:val="both"/>
        <w:rPr>
          <w:rFonts w:ascii="Times New Roman" w:eastAsia="Times New Roman" w:hAnsi="Times New Roman" w:cs="Times New Roman"/>
          <w:sz w:val="24"/>
          <w:szCs w:val="24"/>
          <w:highlight w:val="yellow"/>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létezését és szervezeti formáját a civil szervezetek közhiteles nyilvántartásába bejegyzett adatai igazolják. </w:t>
      </w:r>
      <w:commentRangeStart w:id="4"/>
      <w:r>
        <w:rPr>
          <w:rFonts w:ascii="Times New Roman" w:eastAsia="Times New Roman" w:hAnsi="Times New Roman" w:cs="Times New Roman"/>
          <w:sz w:val="24"/>
          <w:szCs w:val="24"/>
        </w:rPr>
        <w:t>Azt, hogy a tárgyévben 7,2 millió forintot elérő külföldi támogatásban részesült, az indítványhoz csatolt bankszámlakivonat-másolatok, támogatási szerződések, illetve a Törvény 2. § (1) bekezdése szerinti bejelentések másolataival, a bírósági nyilvántartásban elérhető adataikkal, valamint a Civil Információs Portálon elérhető Külföldről támogatott civil szervezetek listájával igazolja. Ezeket az indítvány mellékleteként nyújtjuk be.</w:t>
      </w:r>
      <w:commentRangeEnd w:id="4"/>
      <w:r>
        <w:commentReference w:id="4"/>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mindezek alapján a támadott Törvény 1. § (1) bekezdése szerint a Törvény hatálya alá tartozik, és már most is külföldről támogatott szervezetnek minősíti a Törvény, valamint már jelenleg is terhelik mindazok a kötelezettségek, amelyeket a Törvény rá nézve előír. </w:t>
      </w:r>
      <w:commentRangeStart w:id="5"/>
      <w:r>
        <w:rPr>
          <w:rFonts w:ascii="Times New Roman" w:eastAsia="Times New Roman" w:hAnsi="Times New Roman" w:cs="Times New Roman"/>
          <w:sz w:val="24"/>
          <w:szCs w:val="24"/>
        </w:rPr>
        <w:t>Az indítványozó a Törvény 2. § (1) bekezdése szerinti meg is tette az előírt bejelentést. Ezt a Civil Információs Portálon közzétett lista kinyomtatott változatával igazoljuk.</w:t>
      </w:r>
      <w:commentRangeEnd w:id="5"/>
      <w:r>
        <w:commentReference w:id="5"/>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támadott rendelkezések </w:t>
      </w:r>
      <w:proofErr w:type="spellStart"/>
      <w:r>
        <w:rPr>
          <w:rFonts w:ascii="Times New Roman" w:eastAsia="Times New Roman" w:hAnsi="Times New Roman" w:cs="Times New Roman"/>
          <w:sz w:val="24"/>
          <w:szCs w:val="24"/>
        </w:rPr>
        <w:t>hatályosulása</w:t>
      </w:r>
      <w:proofErr w:type="spellEnd"/>
      <w:r>
        <w:rPr>
          <w:rFonts w:ascii="Times New Roman" w:eastAsia="Times New Roman" w:hAnsi="Times New Roman" w:cs="Times New Roman"/>
          <w:sz w:val="24"/>
          <w:szCs w:val="24"/>
        </w:rPr>
        <w:t xml:space="preserve"> folytán közvetlenül, bírói döntés nélkül következnek be az alkotmányjogi panaszban kifogásolt jogsérelmek. A Törvény 1. § (1) bekezdése maga minősíti az indítványozót külföldről támogatott szervezetnek, a minősítés a Törvényben </w:t>
      </w:r>
      <w:r>
        <w:rPr>
          <w:rFonts w:ascii="Times New Roman" w:eastAsia="Times New Roman" w:hAnsi="Times New Roman" w:cs="Times New Roman"/>
          <w:sz w:val="24"/>
          <w:szCs w:val="24"/>
        </w:rPr>
        <w:lastRenderedPageBreak/>
        <w:t xml:space="preserve">meghatározott feltétel bekövetkezte esetén a törvény erejénél fogva beáll. A 2. § szerinti kötelezettségek (bejelentés, adatszolgáltatás, feltüntetés és közzététel) jogalkalmazói aktus közvetítése nélkül terhelik az indítványozót, a bejelentett tényeknek a szervezetet nyilvántartó bíróság általi regisztrációja és a Civil Információs Portál vezetéséért felelős miniszter aktusa az adatok közzétételére is puszta automatizmus. A panaszban előadott alapjog-sérelmek egyik része tehát további egyedi döntés nélkül is bekövetkezik. Továbbá, a sérelmezett szankcióval fenyegetés miatti alapjogsérelem is további jogalkalmazói aktus nélkül is fennáll. A Törvény sérelmezett rendelkezései közül csak a szankció alkalmazása igényel bírói közreműködést, ám az indítványozónak az ügye, ha eleget tesz a sérelmezett kötelezettségeinek, soha nem kerül bíróság elé, hiszen az ügyész értelemszerűen nem kezdeményezi bírságolását vagy törvényességi felügyeleti eljárás megindítását. Ha pedig az indítványozó nem tesz eleget az </w:t>
      </w:r>
      <w:proofErr w:type="spellStart"/>
      <w:r>
        <w:rPr>
          <w:rFonts w:ascii="Times New Roman" w:eastAsia="Times New Roman" w:hAnsi="Times New Roman" w:cs="Times New Roman"/>
          <w:sz w:val="24"/>
          <w:szCs w:val="24"/>
        </w:rPr>
        <w:t>alapjogsértő</w:t>
      </w:r>
      <w:proofErr w:type="spellEnd"/>
      <w:r>
        <w:rPr>
          <w:rFonts w:ascii="Times New Roman" w:eastAsia="Times New Roman" w:hAnsi="Times New Roman" w:cs="Times New Roman"/>
          <w:sz w:val="24"/>
          <w:szCs w:val="24"/>
        </w:rPr>
        <w:t xml:space="preserve"> kötelezettségeinek, </w:t>
      </w:r>
      <w:proofErr w:type="spellStart"/>
      <w:r>
        <w:rPr>
          <w:rFonts w:ascii="Times New Roman" w:eastAsia="Times New Roman" w:hAnsi="Times New Roman" w:cs="Times New Roman"/>
          <w:sz w:val="24"/>
          <w:szCs w:val="24"/>
        </w:rPr>
        <w:t>szakciók</w:t>
      </w:r>
      <w:proofErr w:type="spellEnd"/>
      <w:r>
        <w:rPr>
          <w:rFonts w:ascii="Times New Roman" w:eastAsia="Times New Roman" w:hAnsi="Times New Roman" w:cs="Times New Roman"/>
          <w:sz w:val="24"/>
          <w:szCs w:val="24"/>
        </w:rPr>
        <w:t xml:space="preserve"> sújtani fogják, ami elvileg a jogalanyisága megszűnését is jelentheti. A szankciót alkalmazó jogerős bírósági döntés után - tekintettel arra, hogy az akkor előterjesztendő alkotmányjogi panaszeljárás nem feltétlenül jár a bírósági végzés hatályának felfüggesztésével - már nem lenne lehetősége az alapjogsérelemmel szemben az alkotmányjogi panaszt hatékony módon igénybe venni. Az alkotmányjogi panaszeljárás megindításának nem lehet feltétele, hogy az indítványozónak meg kell sértenie a törvényt, és szembe kell néznie a szankciókkal, hiszen a sérelem már a szankciók alkalmazása előtt is megtörténik. Mivel tehát a jogsérelem </w:t>
      </w:r>
      <w:r>
        <w:rPr>
          <w:rFonts w:ascii="Times New Roman" w:eastAsia="Times New Roman" w:hAnsi="Times New Roman" w:cs="Times New Roman"/>
          <w:i/>
          <w:sz w:val="24"/>
          <w:szCs w:val="24"/>
        </w:rPr>
        <w:t>közvetlenül belátható időn belül bizonyosan</w:t>
      </w:r>
      <w:r>
        <w:rPr>
          <w:rFonts w:ascii="Times New Roman" w:eastAsia="Times New Roman" w:hAnsi="Times New Roman" w:cs="Times New Roman"/>
          <w:sz w:val="24"/>
          <w:szCs w:val="24"/>
        </w:rPr>
        <w:t xml:space="preserve"> bekövetkezik, sőt, a külföldről </w:t>
      </w:r>
      <w:proofErr w:type="spellStart"/>
      <w:r>
        <w:rPr>
          <w:rFonts w:ascii="Times New Roman" w:eastAsia="Times New Roman" w:hAnsi="Times New Roman" w:cs="Times New Roman"/>
          <w:sz w:val="24"/>
          <w:szCs w:val="24"/>
        </w:rPr>
        <w:t>támogatotti</w:t>
      </w:r>
      <w:proofErr w:type="spellEnd"/>
      <w:r>
        <w:rPr>
          <w:rFonts w:ascii="Times New Roman" w:eastAsia="Times New Roman" w:hAnsi="Times New Roman" w:cs="Times New Roman"/>
          <w:sz w:val="24"/>
          <w:szCs w:val="24"/>
        </w:rPr>
        <w:t xml:space="preserve"> minőség és az ezekkel járó kötelezettségek a Törvény általi előírásával már be is következett, az indítványozó érintettsége tényleges, aktuális és közvetlen.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I.2. Az indítványozói jogosultság további feltétele, hogy a panaszos a jogorvoslati lehetőségeit merítse ki, illetőleg az alkotmányjogi panasz a Törvény szerint benyújtható közvetlenül akkor is, ha nincs a jogsérelem orvoslására szolgáló jogorvoslat. Jelen ügyben a Törvény szerinti minősítés, valamint a Törvényben előírt kötelezettségek beállása okozta alapjog-sérelem miatt semmilyen jogorvoslati lehetőség nem áll az indítványozó rendelkezésére. Ha a indítványozó eleget tesz az alapjogsérelmet okozó kötelezettségeinek, az alapjogsérelem úgy következik be, hogy azzal szemben - az alkotmányjogi panasz </w:t>
      </w:r>
      <w:proofErr w:type="spellStart"/>
      <w:r>
        <w:rPr>
          <w:rFonts w:ascii="Times New Roman" w:eastAsia="Times New Roman" w:hAnsi="Times New Roman" w:cs="Times New Roman"/>
          <w:sz w:val="24"/>
          <w:szCs w:val="24"/>
        </w:rPr>
        <w:t>előterjelsztésén</w:t>
      </w:r>
      <w:proofErr w:type="spellEnd"/>
      <w:r>
        <w:rPr>
          <w:rFonts w:ascii="Times New Roman" w:eastAsia="Times New Roman" w:hAnsi="Times New Roman" w:cs="Times New Roman"/>
          <w:sz w:val="24"/>
          <w:szCs w:val="24"/>
        </w:rPr>
        <w:t xml:space="preserve"> túl - más jogorvoslati lehetőség nem áll számára nyitva. A kötelezettségeket nem teljesítő indítványozóval szemben pedig az ügyész ugyan kezdeményezheti a bíróság eljárását, az azonban nem értelmezhető a kötelezettségek okozta közvetlen jogsérelemmel szembeni jogorvoslatként. Utalunk az Alkotmánybíróság, 33/2012. (VII. 17.) AB határozatára, amely szerint „nem támasztható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xml:space="preserve">.  26.  §  (2)  bekezdése  szerinti  panasz  benyújtásának  feltételeként  olyan jogorvoslat kimerítésének követelménye, amely – a vonatkozó jogi szabályozásból következően – nem alkalmas arra, hogy a panaszos jogsérelmét orvosolja.” (Indokolás [66] bekezdés). Márpedig a bírósági eljárások és azokkal szembeni jogorvoslati lehetőségek nem az alapjogsérelmet közvetlenül eredményező kötelezettségek fennállását, hanem a kötelezettségek </w:t>
      </w:r>
      <w:proofErr w:type="spellStart"/>
      <w:r>
        <w:rPr>
          <w:rFonts w:ascii="Times New Roman" w:eastAsia="Times New Roman" w:hAnsi="Times New Roman" w:cs="Times New Roman"/>
          <w:sz w:val="24"/>
          <w:szCs w:val="24"/>
        </w:rPr>
        <w:t>nemteljesítése</w:t>
      </w:r>
      <w:proofErr w:type="spellEnd"/>
      <w:r>
        <w:rPr>
          <w:rFonts w:ascii="Times New Roman" w:eastAsia="Times New Roman" w:hAnsi="Times New Roman" w:cs="Times New Roman"/>
          <w:sz w:val="24"/>
          <w:szCs w:val="24"/>
        </w:rPr>
        <w:t xml:space="preserve"> miatti bírságokat, illetve a törvényességi felügyeleti eljárás keretében alkalmazott jogkövetkezményeket érintik. Ezekben az eljárásokban a bíróság nem állapíthatja meg, hogy a kötelezettségek az érintett szervezetet nem terhelik. Mindezek alapján a magyar jogrendszerben az egyetlen eljárási </w:t>
      </w:r>
      <w:r>
        <w:rPr>
          <w:rFonts w:ascii="Times New Roman" w:eastAsia="Times New Roman" w:hAnsi="Times New Roman" w:cs="Times New Roman"/>
          <w:sz w:val="24"/>
          <w:szCs w:val="24"/>
        </w:rPr>
        <w:lastRenderedPageBreak/>
        <w:t xml:space="preserve">lehetőség, amely az indítványozó rendelkezésére áll a Törvénynek a szervezetek külföldről támogatott szervezetté minősítésével és az ilyen szervezetek számára előírt kötelezettségekkel okozott alapjog-sérelem orvoslására,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xml:space="preserve">. 26. § (2) bekezdése szerinti, közvetlen alkotmányjogi panasz intézménye.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I.3.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29.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szerint az Alkotmánybíróság az alkotmányjogi panaszt a bírói döntést érdemben befolyásoló alaptörvény-ellenesség vagy alkotmányjogi jelentőségű kérdés esetén fogadja be. Ezek közül jelen ügyben az alkotmányjogi panasz befogadásának alapja az alapvető alkotmányjogi kérdés lehet. Jelen alkotmányjogi panasz autonóm szervezetek, egyesületek és alapítványok létezését és működését biztosító külföldi források elfogadásával együtt járó korlátozások megengedhetőségével, ennélfogva az egyesülési szabadság korlátozásának, valamint a szervezetek autonómiája kereteinek alkotmányos sztenderdjeivel kapcsolatos. A közéleti vitákban aktív szervezetek tekintetében további alapvető alkotmányos jelentőségű kérdés, hogy a külföldi támogatás elfogadása alkotmányosan együtt járhat-e a közéletben való részvétellel kapcsolatos jogaik sérelmével. Az indítvánnyal érintett alkotmányjogi probléma alapjaiban érinti azt, hogy ezek a szervezetek, és azokon keresztül az állampolgárok miképpen tudnak részt venni a számukra fontos, vagy közérdekű célok megvalósításában, illetve a közügyek alakításában, gyakorolhatják alapvető jogaikat: el kell-e viselniük azokat a szükségtelen és aránytalan </w:t>
      </w:r>
      <w:proofErr w:type="spellStart"/>
      <w:r>
        <w:rPr>
          <w:rFonts w:ascii="Times New Roman" w:eastAsia="Times New Roman" w:hAnsi="Times New Roman" w:cs="Times New Roman"/>
          <w:sz w:val="24"/>
          <w:szCs w:val="24"/>
        </w:rPr>
        <w:t>alapjogkorlátozás</w:t>
      </w:r>
      <w:proofErr w:type="spellEnd"/>
      <w:r>
        <w:rPr>
          <w:rFonts w:ascii="Times New Roman" w:eastAsia="Times New Roman" w:hAnsi="Times New Roman" w:cs="Times New Roman"/>
          <w:sz w:val="24"/>
          <w:szCs w:val="24"/>
        </w:rPr>
        <w:t xml:space="preserve"> okozta jogsérelmeket, amelyek a Törvény alapján a külföldi támogatás elfogadása következtében érik őket. A demokratikus vita elképzelhetetlen anélkül, hogy annak aktív nem-kormányzati résztvevői legyenek. A civil szervezetek közötti, pénzügyi háttéren alapuló különbségtétel így befolyásolja a plurális demokratikus vitát, amely mellett az Alaptörvény is elkötelezett. Az alkotmányjogi panasz ezért az egyesülési szabadság és a demokratikus közéletben való részvétellel kapcsolatos kérdést érint, amely alapvető alkotmányjogi jelentőségű kérdés, mert a demokratikus berendezkedés elengedhetetlen feltétele az élénk civil aktivitás és a szükségtelen korlátozásoktól mentes aktív közéleti diskurzus.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I.4.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xml:space="preserve">. 30. § (4) bekezdése az indítvány előterjesztésére határidőt állapít meg. Eszerint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xml:space="preserve">. 26. § (2) bekezdése szerinti alkotmányjogi panasszal az Alkotmánybíróság eljárása megindításának az alaptörvény-ellenes jogszabály hatálybalépésétől számított száznyolcvan nap elteltével nincs helye.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Törvény 2017. június 27-én lépett hatályba, az alkotmányjogi panasz benyújtására nyitva álló határidő 2017. december 24-én jár le. Az alkotmányjogi panaszt tehát a határidőn belül nyújtja be az indítványozó.</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I.5. A kérdéses Törvény Alaptörvénnyel való összhangjáról az Alkotmánybíróság mindeddig sem alkotmányjogi panasz, sem bírói kezdeményezés alapján nem hozott döntést, így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31. §</w:t>
      </w:r>
      <w:proofErr w:type="spellStart"/>
      <w:r>
        <w:rPr>
          <w:rFonts w:ascii="Times New Roman" w:eastAsia="Times New Roman" w:hAnsi="Times New Roman" w:cs="Times New Roman"/>
          <w:sz w:val="24"/>
          <w:szCs w:val="24"/>
        </w:rPr>
        <w:t>-ában</w:t>
      </w:r>
      <w:proofErr w:type="spellEnd"/>
      <w:r>
        <w:rPr>
          <w:rFonts w:ascii="Times New Roman" w:eastAsia="Times New Roman" w:hAnsi="Times New Roman" w:cs="Times New Roman"/>
          <w:sz w:val="24"/>
          <w:szCs w:val="24"/>
        </w:rPr>
        <w:t xml:space="preserve"> foglalt korlátozás sem képezi a panasz előterjesztésének akadályát. Az Alkotmánybíróság eljárásának az sem lenne akadálya, ha időközben más eljárásban, például az országgyűlési képviselők egynegyedének indítványa alapján utólagos normakontroll eljárásban döntést hozna, hiszen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31. §</w:t>
      </w:r>
      <w:proofErr w:type="spellStart"/>
      <w:r>
        <w:rPr>
          <w:rFonts w:ascii="Times New Roman" w:eastAsia="Times New Roman" w:hAnsi="Times New Roman" w:cs="Times New Roman"/>
          <w:sz w:val="24"/>
          <w:szCs w:val="24"/>
        </w:rPr>
        <w:t>-ában</w:t>
      </w:r>
      <w:proofErr w:type="spellEnd"/>
      <w:r>
        <w:rPr>
          <w:rFonts w:ascii="Times New Roman" w:eastAsia="Times New Roman" w:hAnsi="Times New Roman" w:cs="Times New Roman"/>
          <w:sz w:val="24"/>
          <w:szCs w:val="24"/>
        </w:rPr>
        <w:t xml:space="preserve"> foglalt res </w:t>
      </w:r>
      <w:proofErr w:type="spellStart"/>
      <w:r>
        <w:rPr>
          <w:rFonts w:ascii="Times New Roman" w:eastAsia="Times New Roman" w:hAnsi="Times New Roman" w:cs="Times New Roman"/>
          <w:sz w:val="24"/>
          <w:szCs w:val="24"/>
        </w:rPr>
        <w:t>iudicata</w:t>
      </w:r>
      <w:proofErr w:type="spellEnd"/>
      <w:r>
        <w:rPr>
          <w:rFonts w:ascii="Times New Roman" w:eastAsia="Times New Roman" w:hAnsi="Times New Roman" w:cs="Times New Roman"/>
          <w:sz w:val="24"/>
          <w:szCs w:val="24"/>
        </w:rPr>
        <w:t xml:space="preserve"> szabályok csak  </w:t>
      </w:r>
      <w:r>
        <w:rPr>
          <w:rFonts w:ascii="Times New Roman" w:eastAsia="Times New Roman" w:hAnsi="Times New Roman" w:cs="Times New Roman"/>
          <w:sz w:val="24"/>
          <w:szCs w:val="24"/>
        </w:rPr>
        <w:lastRenderedPageBreak/>
        <w:t>alkotmányjogi panasz vagy bírói kezdeményezés alapján lefolytatott korábbi eljárásokra korlátozódnak.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 Az Alaptörvény-ellenes törvény lényegi rendelkezései</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1. </w:t>
      </w:r>
      <w:r>
        <w:rPr>
          <w:rFonts w:ascii="Times New Roman" w:eastAsia="Times New Roman" w:hAnsi="Times New Roman" w:cs="Times New Roman"/>
          <w:i/>
          <w:sz w:val="24"/>
          <w:szCs w:val="24"/>
        </w:rPr>
        <w:t>Külföldről támogatott szervezetté minősítés</w:t>
      </w:r>
      <w:r>
        <w:rPr>
          <w:rFonts w:ascii="Times New Roman" w:eastAsia="Times New Roman" w:hAnsi="Times New Roman" w:cs="Times New Roman"/>
          <w:sz w:val="24"/>
          <w:szCs w:val="24"/>
        </w:rPr>
        <w:t xml:space="preserve">, 1. § (1)-(2) bekezdés. A Törvény a hatálya alá tartozó alapítványokat és egyesületeket, amelyek egy </w:t>
      </w:r>
      <w:proofErr w:type="spellStart"/>
      <w:r>
        <w:rPr>
          <w:rFonts w:ascii="Times New Roman" w:eastAsia="Times New Roman" w:hAnsi="Times New Roman" w:cs="Times New Roman"/>
          <w:sz w:val="24"/>
          <w:szCs w:val="24"/>
        </w:rPr>
        <w:t>ado</w:t>
      </w:r>
      <w:proofErr w:type="spellEnd"/>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vben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egyenke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nt</w:t>
      </w:r>
      <w:proofErr w:type="spellEnd"/>
      <w:r>
        <w:rPr>
          <w:rFonts w:ascii="Times New Roman" w:eastAsia="Times New Roman" w:hAnsi="Times New Roman" w:cs="Times New Roman"/>
          <w:sz w:val="24"/>
          <w:szCs w:val="24"/>
        </w:rPr>
        <w:t xml:space="preserve"> vagy ö</w:t>
      </w:r>
      <w:proofErr w:type="spellStart"/>
      <w:r>
        <w:rPr>
          <w:rFonts w:ascii="Times New Roman" w:eastAsia="Times New Roman" w:hAnsi="Times New Roman" w:cs="Times New Roman"/>
          <w:sz w:val="24"/>
          <w:szCs w:val="24"/>
        </w:rPr>
        <w:t>sszesi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jogci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fu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ggetlenu</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zvetlenu</w:t>
      </w:r>
      <w:proofErr w:type="spellEnd"/>
      <w:r>
        <w:rPr>
          <w:rFonts w:ascii="Times New Roman" w:eastAsia="Times New Roman" w:hAnsi="Times New Roman" w:cs="Times New Roman"/>
          <w:sz w:val="24"/>
          <w:szCs w:val="24"/>
        </w:rPr>
        <w:t xml:space="preserve">̈l vagy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zvetve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lfo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ldro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sza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rmazo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nzbeli</w:t>
      </w:r>
      <w:proofErr w:type="spellEnd"/>
      <w:r>
        <w:rPr>
          <w:rFonts w:ascii="Times New Roman" w:eastAsia="Times New Roman" w:hAnsi="Times New Roman" w:cs="Times New Roman"/>
          <w:sz w:val="24"/>
          <w:szCs w:val="24"/>
        </w:rPr>
        <w:t xml:space="preserve"> vagy egyéb vagyoni </w:t>
      </w:r>
      <w:proofErr w:type="spellStart"/>
      <w:r>
        <w:rPr>
          <w:rFonts w:ascii="Times New Roman" w:eastAsia="Times New Roman" w:hAnsi="Times New Roman" w:cs="Times New Roman"/>
          <w:sz w:val="24"/>
          <w:szCs w:val="24"/>
        </w:rPr>
        <w:t>jellegu</w:t>
      </w:r>
      <w:proofErr w:type="spellEnd"/>
      <w:r>
        <w:rPr>
          <w:rFonts w:ascii="Times New Roman" w:eastAsia="Times New Roman" w:hAnsi="Times New Roman" w:cs="Times New Roman"/>
          <w:sz w:val="24"/>
          <w:szCs w:val="24"/>
        </w:rPr>
        <w:t xml:space="preserve">̋ juttatásban a </w:t>
      </w:r>
      <w:proofErr w:type="spellStart"/>
      <w:r>
        <w:rPr>
          <w:rFonts w:ascii="Times New Roman" w:eastAsia="Times New Roman" w:hAnsi="Times New Roman" w:cs="Times New Roman"/>
          <w:sz w:val="24"/>
          <w:szCs w:val="24"/>
        </w:rPr>
        <w:t>pe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nzmosa</w:t>
      </w:r>
      <w:proofErr w:type="spellEnd"/>
      <w:r>
        <w:rPr>
          <w:rFonts w:ascii="Times New Roman" w:eastAsia="Times New Roman" w:hAnsi="Times New Roman" w:cs="Times New Roman"/>
          <w:sz w:val="24"/>
          <w:szCs w:val="24"/>
        </w:rPr>
        <w:t xml:space="preserve">́s és a terrorizmus </w:t>
      </w:r>
      <w:proofErr w:type="spellStart"/>
      <w:r>
        <w:rPr>
          <w:rFonts w:ascii="Times New Roman" w:eastAsia="Times New Roman" w:hAnsi="Times New Roman" w:cs="Times New Roman"/>
          <w:sz w:val="24"/>
          <w:szCs w:val="24"/>
        </w:rPr>
        <w:t>finanszi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roza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megelo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ze</w:t>
      </w:r>
      <w:proofErr w:type="spellEnd"/>
      <w:r>
        <w:rPr>
          <w:rFonts w:ascii="Times New Roman" w:eastAsia="Times New Roman" w:hAnsi="Times New Roman" w:cs="Times New Roman"/>
          <w:sz w:val="24"/>
          <w:szCs w:val="24"/>
        </w:rPr>
        <w:t>́sé</w:t>
      </w:r>
      <w:proofErr w:type="spellStart"/>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 xml:space="preserve">̋l és </w:t>
      </w:r>
      <w:proofErr w:type="spellStart"/>
      <w:r>
        <w:rPr>
          <w:rFonts w:ascii="Times New Roman" w:eastAsia="Times New Roman" w:hAnsi="Times New Roman" w:cs="Times New Roman"/>
          <w:sz w:val="24"/>
          <w:szCs w:val="24"/>
        </w:rPr>
        <w:t>megakada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lyoza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szo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2017. é</w:t>
      </w:r>
      <w:proofErr w:type="spellStart"/>
      <w:r>
        <w:rPr>
          <w:rFonts w:ascii="Times New Roman" w:eastAsia="Times New Roman" w:hAnsi="Times New Roman" w:cs="Times New Roman"/>
          <w:sz w:val="24"/>
          <w:szCs w:val="24"/>
        </w:rPr>
        <w:t>vi</w:t>
      </w:r>
      <w:proofErr w:type="spellEnd"/>
      <w:r>
        <w:rPr>
          <w:rFonts w:ascii="Times New Roman" w:eastAsia="Times New Roman" w:hAnsi="Times New Roman" w:cs="Times New Roman"/>
          <w:sz w:val="24"/>
          <w:szCs w:val="24"/>
        </w:rPr>
        <w:t xml:space="preserve"> LIII.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6. § (1) </w:t>
      </w:r>
      <w:proofErr w:type="spellStart"/>
      <w:r>
        <w:rPr>
          <w:rFonts w:ascii="Times New Roman" w:eastAsia="Times New Roman" w:hAnsi="Times New Roman" w:cs="Times New Roman"/>
          <w:sz w:val="24"/>
          <w:szCs w:val="24"/>
        </w:rPr>
        <w:t>bekezde</w:t>
      </w:r>
      <w:proofErr w:type="spellEnd"/>
      <w:r>
        <w:rPr>
          <w:rFonts w:ascii="Times New Roman" w:eastAsia="Times New Roman" w:hAnsi="Times New Roman" w:cs="Times New Roman"/>
          <w:sz w:val="24"/>
          <w:szCs w:val="24"/>
        </w:rPr>
        <w:t>́s b) pontjá</w:t>
      </w:r>
      <w:proofErr w:type="spellStart"/>
      <w:r>
        <w:rPr>
          <w:rFonts w:ascii="Times New Roman" w:eastAsia="Times New Roman" w:hAnsi="Times New Roman" w:cs="Times New Roman"/>
          <w:sz w:val="24"/>
          <w:szCs w:val="24"/>
        </w:rPr>
        <w:t>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meghata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rozott</w:t>
      </w:r>
      <w:proofErr w:type="spellEnd"/>
      <w:r>
        <w:rPr>
          <w:rFonts w:ascii="Times New Roman" w:eastAsia="Times New Roman" w:hAnsi="Times New Roman" w:cs="Times New Roman"/>
          <w:sz w:val="24"/>
          <w:szCs w:val="24"/>
        </w:rPr>
        <w:t xml:space="preserve"> ö</w:t>
      </w:r>
      <w:proofErr w:type="spellStart"/>
      <w:r>
        <w:rPr>
          <w:rFonts w:ascii="Times New Roman" w:eastAsia="Times New Roman" w:hAnsi="Times New Roman" w:cs="Times New Roman"/>
          <w:sz w:val="24"/>
          <w:szCs w:val="24"/>
        </w:rPr>
        <w:t>sszeg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tszerese</w:t>
      </w:r>
      <w:proofErr w:type="spellEnd"/>
      <w:r>
        <w:rPr>
          <w:rFonts w:ascii="Times New Roman" w:eastAsia="Times New Roman" w:hAnsi="Times New Roman" w:cs="Times New Roman"/>
          <w:sz w:val="24"/>
          <w:szCs w:val="24"/>
        </w:rPr>
        <w:t xml:space="preserve">́t elérő mértékben részesülnek, a Törvény </w:t>
      </w:r>
      <w:proofErr w:type="spellStart"/>
      <w:r>
        <w:rPr>
          <w:rFonts w:ascii="Times New Roman" w:eastAsia="Times New Roman" w:hAnsi="Times New Roman" w:cs="Times New Roman"/>
          <w:sz w:val="24"/>
          <w:szCs w:val="24"/>
        </w:rPr>
        <w:t>ku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lfo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ldro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mogatott</w:t>
      </w:r>
      <w:proofErr w:type="spellEnd"/>
      <w:r>
        <w:rPr>
          <w:rFonts w:ascii="Times New Roman" w:eastAsia="Times New Roman" w:hAnsi="Times New Roman" w:cs="Times New Roman"/>
          <w:sz w:val="24"/>
          <w:szCs w:val="24"/>
        </w:rPr>
        <w:t xml:space="preserve"> szervezetnek </w:t>
      </w:r>
      <w:proofErr w:type="spellStart"/>
      <w:r>
        <w:rPr>
          <w:rFonts w:ascii="Times New Roman" w:eastAsia="Times New Roman" w:hAnsi="Times New Roman" w:cs="Times New Roman"/>
          <w:sz w:val="24"/>
          <w:szCs w:val="24"/>
        </w:rPr>
        <w:t>mino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síti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nzmosa</w:t>
      </w:r>
      <w:proofErr w:type="spellEnd"/>
      <w:r>
        <w:rPr>
          <w:rFonts w:ascii="Times New Roman" w:eastAsia="Times New Roman" w:hAnsi="Times New Roman" w:cs="Times New Roman"/>
          <w:sz w:val="24"/>
          <w:szCs w:val="24"/>
        </w:rPr>
        <w:t xml:space="preserve">́s és a terrorizmus </w:t>
      </w:r>
      <w:proofErr w:type="spellStart"/>
      <w:r>
        <w:rPr>
          <w:rFonts w:ascii="Times New Roman" w:eastAsia="Times New Roman" w:hAnsi="Times New Roman" w:cs="Times New Roman"/>
          <w:sz w:val="24"/>
          <w:szCs w:val="24"/>
        </w:rPr>
        <w:t>finanszi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roza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megelo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ze</w:t>
      </w:r>
      <w:proofErr w:type="spellEnd"/>
      <w:r>
        <w:rPr>
          <w:rFonts w:ascii="Times New Roman" w:eastAsia="Times New Roman" w:hAnsi="Times New Roman" w:cs="Times New Roman"/>
          <w:sz w:val="24"/>
          <w:szCs w:val="24"/>
        </w:rPr>
        <w:t>́sé</w:t>
      </w:r>
      <w:proofErr w:type="spellStart"/>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 xml:space="preserve">̋l és </w:t>
      </w:r>
      <w:proofErr w:type="spellStart"/>
      <w:r>
        <w:rPr>
          <w:rFonts w:ascii="Times New Roman" w:eastAsia="Times New Roman" w:hAnsi="Times New Roman" w:cs="Times New Roman"/>
          <w:sz w:val="24"/>
          <w:szCs w:val="24"/>
        </w:rPr>
        <w:t>megakada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lyoza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szo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2017. é</w:t>
      </w:r>
      <w:proofErr w:type="spellStart"/>
      <w:r>
        <w:rPr>
          <w:rFonts w:ascii="Times New Roman" w:eastAsia="Times New Roman" w:hAnsi="Times New Roman" w:cs="Times New Roman"/>
          <w:sz w:val="24"/>
          <w:szCs w:val="24"/>
        </w:rPr>
        <w:t>vi</w:t>
      </w:r>
      <w:proofErr w:type="spellEnd"/>
      <w:r>
        <w:rPr>
          <w:rFonts w:ascii="Times New Roman" w:eastAsia="Times New Roman" w:hAnsi="Times New Roman" w:cs="Times New Roman"/>
          <w:sz w:val="24"/>
          <w:szCs w:val="24"/>
        </w:rPr>
        <w:t xml:space="preserve"> LIII.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6. § (1) </w:t>
      </w:r>
      <w:proofErr w:type="spellStart"/>
      <w:r>
        <w:rPr>
          <w:rFonts w:ascii="Times New Roman" w:eastAsia="Times New Roman" w:hAnsi="Times New Roman" w:cs="Times New Roman"/>
          <w:sz w:val="24"/>
          <w:szCs w:val="24"/>
        </w:rPr>
        <w:t>bekezde</w:t>
      </w:r>
      <w:proofErr w:type="spellEnd"/>
      <w:r>
        <w:rPr>
          <w:rFonts w:ascii="Times New Roman" w:eastAsia="Times New Roman" w:hAnsi="Times New Roman" w:cs="Times New Roman"/>
          <w:sz w:val="24"/>
          <w:szCs w:val="24"/>
        </w:rPr>
        <w:t>́s b) pontjá</w:t>
      </w:r>
      <w:proofErr w:type="spellStart"/>
      <w:r>
        <w:rPr>
          <w:rFonts w:ascii="Times New Roman" w:eastAsia="Times New Roman" w:hAnsi="Times New Roman" w:cs="Times New Roman"/>
          <w:sz w:val="24"/>
          <w:szCs w:val="24"/>
        </w:rPr>
        <w:t>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meghata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rozott</w:t>
      </w:r>
      <w:proofErr w:type="spellEnd"/>
      <w:r>
        <w:rPr>
          <w:rFonts w:ascii="Times New Roman" w:eastAsia="Times New Roman" w:hAnsi="Times New Roman" w:cs="Times New Roman"/>
          <w:sz w:val="24"/>
          <w:szCs w:val="24"/>
        </w:rPr>
        <w:t xml:space="preserve"> ö</w:t>
      </w:r>
      <w:proofErr w:type="spellStart"/>
      <w:r>
        <w:rPr>
          <w:rFonts w:ascii="Times New Roman" w:eastAsia="Times New Roman" w:hAnsi="Times New Roman" w:cs="Times New Roman"/>
          <w:sz w:val="24"/>
          <w:szCs w:val="24"/>
        </w:rPr>
        <w:t>sszeg</w:t>
      </w:r>
      <w:proofErr w:type="spellEnd"/>
      <w:r>
        <w:rPr>
          <w:rFonts w:ascii="Times New Roman" w:eastAsia="Times New Roman" w:hAnsi="Times New Roman" w:cs="Times New Roman"/>
          <w:sz w:val="24"/>
          <w:szCs w:val="24"/>
        </w:rPr>
        <w:t xml:space="preserve"> hárommillió-hatszázezer forint, ennek kétszerese hétmillió-kétszázezer forint.)</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támogatás összegébe nem kell </w:t>
      </w:r>
      <w:proofErr w:type="spellStart"/>
      <w:r>
        <w:rPr>
          <w:rFonts w:ascii="Times New Roman" w:eastAsia="Times New Roman" w:hAnsi="Times New Roman" w:cs="Times New Roman"/>
          <w:sz w:val="24"/>
          <w:szCs w:val="24"/>
        </w:rPr>
        <w:t>besza</w:t>
      </w:r>
      <w:proofErr w:type="spellEnd"/>
      <w:r>
        <w:rPr>
          <w:rFonts w:ascii="Times New Roman" w:eastAsia="Times New Roman" w:hAnsi="Times New Roman" w:cs="Times New Roman"/>
          <w:sz w:val="24"/>
          <w:szCs w:val="24"/>
        </w:rPr>
        <w:t xml:space="preserve">́mítani azt a </w:t>
      </w:r>
      <w:proofErr w:type="spellStart"/>
      <w:r>
        <w:rPr>
          <w:rFonts w:ascii="Times New Roman" w:eastAsia="Times New Roman" w:hAnsi="Times New Roman" w:cs="Times New Roman"/>
          <w:sz w:val="24"/>
          <w:szCs w:val="24"/>
        </w:rPr>
        <w:t>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mogata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st</w:t>
      </w:r>
      <w:proofErr w:type="spellEnd"/>
      <w:r>
        <w:rPr>
          <w:rFonts w:ascii="Times New Roman" w:eastAsia="Times New Roman" w:hAnsi="Times New Roman" w:cs="Times New Roman"/>
          <w:sz w:val="24"/>
          <w:szCs w:val="24"/>
        </w:rPr>
        <w:t xml:space="preserve">, amelyet az </w:t>
      </w:r>
      <w:proofErr w:type="spellStart"/>
      <w:r>
        <w:rPr>
          <w:rFonts w:ascii="Times New Roman" w:eastAsia="Times New Roman" w:hAnsi="Times New Roman" w:cs="Times New Roman"/>
          <w:sz w:val="24"/>
          <w:szCs w:val="24"/>
        </w:rPr>
        <w:t>egyesu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let</w:t>
      </w:r>
      <w:proofErr w:type="spellEnd"/>
      <w:r>
        <w:rPr>
          <w:rFonts w:ascii="Times New Roman" w:eastAsia="Times New Roman" w:hAnsi="Times New Roman" w:cs="Times New Roman"/>
          <w:sz w:val="24"/>
          <w:szCs w:val="24"/>
        </w:rPr>
        <w:t xml:space="preserve"> vagy alapí</w:t>
      </w:r>
      <w:proofErr w:type="spellStart"/>
      <w:r>
        <w:rPr>
          <w:rFonts w:ascii="Times New Roman" w:eastAsia="Times New Roman" w:hAnsi="Times New Roman" w:cs="Times New Roman"/>
          <w:sz w:val="24"/>
          <w:szCs w:val="24"/>
        </w:rPr>
        <w:t>tva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jogszaba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ly</w:t>
      </w:r>
      <w:proofErr w:type="spellEnd"/>
      <w:r>
        <w:rPr>
          <w:rFonts w:ascii="Times New Roman" w:eastAsia="Times New Roman" w:hAnsi="Times New Roman" w:cs="Times New Roman"/>
          <w:sz w:val="24"/>
          <w:szCs w:val="24"/>
        </w:rPr>
        <w:t xml:space="preserve"> szerint az Euró</w:t>
      </w:r>
      <w:proofErr w:type="spellStart"/>
      <w:r>
        <w:rPr>
          <w:rFonts w:ascii="Times New Roman" w:eastAsia="Times New Roman" w:hAnsi="Times New Roman" w:cs="Times New Roman"/>
          <w:sz w:val="24"/>
          <w:szCs w:val="24"/>
        </w:rPr>
        <w:t>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sza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rmazo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forra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ske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ltse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gvete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szerven </w:t>
      </w:r>
      <w:proofErr w:type="spellStart"/>
      <w:r>
        <w:rPr>
          <w:rFonts w:ascii="Times New Roman" w:eastAsia="Times New Roman" w:hAnsi="Times New Roman" w:cs="Times New Roman"/>
          <w:sz w:val="24"/>
          <w:szCs w:val="24"/>
        </w:rPr>
        <w:t>keresztu</w:t>
      </w:r>
      <w:proofErr w:type="spellEnd"/>
      <w:r>
        <w:rPr>
          <w:rFonts w:ascii="Times New Roman" w:eastAsia="Times New Roman" w:hAnsi="Times New Roman" w:cs="Times New Roman"/>
          <w:sz w:val="24"/>
          <w:szCs w:val="24"/>
        </w:rPr>
        <w:t xml:space="preserve">̈l kap.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hatálya nem terjed ki azokra az </w:t>
      </w:r>
      <w:proofErr w:type="spellStart"/>
      <w:r>
        <w:rPr>
          <w:rFonts w:ascii="Times New Roman" w:eastAsia="Times New Roman" w:hAnsi="Times New Roman" w:cs="Times New Roman"/>
          <w:sz w:val="24"/>
          <w:szCs w:val="24"/>
        </w:rPr>
        <w:t>egyesu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letekre</w:t>
      </w:r>
      <w:proofErr w:type="spellEnd"/>
      <w:r>
        <w:rPr>
          <w:rFonts w:ascii="Times New Roman" w:eastAsia="Times New Roman" w:hAnsi="Times New Roman" w:cs="Times New Roman"/>
          <w:sz w:val="24"/>
          <w:szCs w:val="24"/>
        </w:rPr>
        <w:t xml:space="preserve"> és alapí</w:t>
      </w:r>
      <w:proofErr w:type="spellStart"/>
      <w:r>
        <w:rPr>
          <w:rFonts w:ascii="Times New Roman" w:eastAsia="Times New Roman" w:hAnsi="Times New Roman" w:cs="Times New Roman"/>
          <w:sz w:val="24"/>
          <w:szCs w:val="24"/>
        </w:rPr>
        <w:t>tva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nyokra</w:t>
      </w:r>
      <w:proofErr w:type="spellEnd"/>
      <w:r>
        <w:rPr>
          <w:rFonts w:ascii="Times New Roman" w:eastAsia="Times New Roman" w:hAnsi="Times New Roman" w:cs="Times New Roman"/>
          <w:sz w:val="24"/>
          <w:szCs w:val="24"/>
        </w:rPr>
        <w:t xml:space="preserve">, amelyek nem </w:t>
      </w:r>
      <w:proofErr w:type="spellStart"/>
      <w:r>
        <w:rPr>
          <w:rFonts w:ascii="Times New Roman" w:eastAsia="Times New Roman" w:hAnsi="Times New Roman" w:cs="Times New Roman"/>
          <w:sz w:val="24"/>
          <w:szCs w:val="24"/>
        </w:rPr>
        <w:t>mino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lnek</w:t>
      </w:r>
      <w:proofErr w:type="spellEnd"/>
      <w:r>
        <w:rPr>
          <w:rFonts w:ascii="Times New Roman" w:eastAsia="Times New Roman" w:hAnsi="Times New Roman" w:cs="Times New Roman"/>
          <w:sz w:val="24"/>
          <w:szCs w:val="24"/>
        </w:rPr>
        <w:t xml:space="preserve"> civil szervezetnek (ezek a pártok, a szakszervezetek, a kölcsönös biztosító egyesületek, a közalapítványok és a pártalapítványok), továbbá a </w:t>
      </w:r>
      <w:proofErr w:type="spellStart"/>
      <w:r>
        <w:rPr>
          <w:rFonts w:ascii="Times New Roman" w:eastAsia="Times New Roman" w:hAnsi="Times New Roman" w:cs="Times New Roman"/>
          <w:sz w:val="24"/>
          <w:szCs w:val="24"/>
        </w:rPr>
        <w:t>sportro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szo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2004. é</w:t>
      </w:r>
      <w:proofErr w:type="spellStart"/>
      <w:r>
        <w:rPr>
          <w:rFonts w:ascii="Times New Roman" w:eastAsia="Times New Roman" w:hAnsi="Times New Roman" w:cs="Times New Roman"/>
          <w:sz w:val="24"/>
          <w:szCs w:val="24"/>
        </w:rPr>
        <w:t>vi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tartozo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egyesu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letre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valla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tevé</w:t>
      </w:r>
      <w:proofErr w:type="spellStart"/>
      <w:r>
        <w:rPr>
          <w:rFonts w:ascii="Times New Roman" w:eastAsia="Times New Roman" w:hAnsi="Times New Roman" w:cs="Times New Roman"/>
          <w:sz w:val="24"/>
          <w:szCs w:val="24"/>
        </w:rPr>
        <w:t>kenyse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gzo</w:t>
      </w:r>
      <w:proofErr w:type="spellEnd"/>
      <w:r>
        <w:rPr>
          <w:rFonts w:ascii="Times New Roman" w:eastAsia="Times New Roman" w:hAnsi="Times New Roman" w:cs="Times New Roman"/>
          <w:sz w:val="24"/>
          <w:szCs w:val="24"/>
        </w:rPr>
        <w:t xml:space="preserve">̋ szervezetre, a </w:t>
      </w:r>
      <w:proofErr w:type="spellStart"/>
      <w:r>
        <w:rPr>
          <w:rFonts w:ascii="Times New Roman" w:eastAsia="Times New Roman" w:hAnsi="Times New Roman" w:cs="Times New Roman"/>
          <w:sz w:val="24"/>
          <w:szCs w:val="24"/>
        </w:rPr>
        <w:t>nemzetise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jogairo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szo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2011. é</w:t>
      </w:r>
      <w:proofErr w:type="spellStart"/>
      <w:r>
        <w:rPr>
          <w:rFonts w:ascii="Times New Roman" w:eastAsia="Times New Roman" w:hAnsi="Times New Roman" w:cs="Times New Roman"/>
          <w:sz w:val="24"/>
          <w:szCs w:val="24"/>
        </w:rPr>
        <w:t>vi</w:t>
      </w:r>
      <w:proofErr w:type="spellEnd"/>
      <w:r>
        <w:rPr>
          <w:rFonts w:ascii="Times New Roman" w:eastAsia="Times New Roman" w:hAnsi="Times New Roman" w:cs="Times New Roman"/>
          <w:sz w:val="24"/>
          <w:szCs w:val="24"/>
        </w:rPr>
        <w:t xml:space="preserve"> CLXXIX.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w:t>
      </w:r>
      <w:proofErr w:type="spellEnd"/>
      <w:r>
        <w:rPr>
          <w:rFonts w:ascii="Times New Roman" w:eastAsia="Times New Roman" w:hAnsi="Times New Roman" w:cs="Times New Roman"/>
          <w:sz w:val="24"/>
          <w:szCs w:val="24"/>
        </w:rPr>
        <w:t xml:space="preserve"> szerinti </w:t>
      </w:r>
      <w:proofErr w:type="spellStart"/>
      <w:r>
        <w:rPr>
          <w:rFonts w:ascii="Times New Roman" w:eastAsia="Times New Roman" w:hAnsi="Times New Roman" w:cs="Times New Roman"/>
          <w:sz w:val="24"/>
          <w:szCs w:val="24"/>
        </w:rPr>
        <w:t>nemzetise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gi</w:t>
      </w:r>
      <w:proofErr w:type="spellEnd"/>
      <w:r>
        <w:rPr>
          <w:rFonts w:ascii="Times New Roman" w:eastAsia="Times New Roman" w:hAnsi="Times New Roman" w:cs="Times New Roman"/>
          <w:sz w:val="24"/>
          <w:szCs w:val="24"/>
        </w:rPr>
        <w:t xml:space="preserve"> szervezetre és </w:t>
      </w:r>
      <w:proofErr w:type="spellStart"/>
      <w:r>
        <w:rPr>
          <w:rFonts w:ascii="Times New Roman" w:eastAsia="Times New Roman" w:hAnsi="Times New Roman" w:cs="Times New Roman"/>
          <w:sz w:val="24"/>
          <w:szCs w:val="24"/>
        </w:rPr>
        <w:t>nemzetise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egyesu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letre</w:t>
      </w:r>
      <w:proofErr w:type="spellEnd"/>
      <w:r>
        <w:rPr>
          <w:rFonts w:ascii="Times New Roman" w:eastAsia="Times New Roman" w:hAnsi="Times New Roman" w:cs="Times New Roman"/>
          <w:sz w:val="24"/>
          <w:szCs w:val="24"/>
        </w:rPr>
        <w:t>, valamint az alapí</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okirata szerint adott </w:t>
      </w:r>
      <w:proofErr w:type="spellStart"/>
      <w:r>
        <w:rPr>
          <w:rFonts w:ascii="Times New Roman" w:eastAsia="Times New Roman" w:hAnsi="Times New Roman" w:cs="Times New Roman"/>
          <w:sz w:val="24"/>
          <w:szCs w:val="24"/>
        </w:rPr>
        <w:t>nemzetise</w:t>
      </w:r>
      <w:proofErr w:type="spellEnd"/>
      <w:r>
        <w:rPr>
          <w:rFonts w:ascii="Times New Roman" w:eastAsia="Times New Roman" w:hAnsi="Times New Roman" w:cs="Times New Roman"/>
          <w:sz w:val="24"/>
          <w:szCs w:val="24"/>
        </w:rPr>
        <w:t>́g é</w:t>
      </w:r>
      <w:proofErr w:type="spellStart"/>
      <w:r>
        <w:rPr>
          <w:rFonts w:ascii="Times New Roman" w:eastAsia="Times New Roman" w:hAnsi="Times New Roman" w:cs="Times New Roman"/>
          <w:sz w:val="24"/>
          <w:szCs w:val="24"/>
        </w:rPr>
        <w:t>rdekve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delme</w:t>
      </w:r>
      <w:proofErr w:type="spellEnd"/>
      <w:r>
        <w:rPr>
          <w:rFonts w:ascii="Times New Roman" w:eastAsia="Times New Roman" w:hAnsi="Times New Roman" w:cs="Times New Roman"/>
          <w:sz w:val="24"/>
          <w:szCs w:val="24"/>
        </w:rPr>
        <w:t>́t, é</w:t>
      </w:r>
      <w:proofErr w:type="spellStart"/>
      <w:r>
        <w:rPr>
          <w:rFonts w:ascii="Times New Roman" w:eastAsia="Times New Roman" w:hAnsi="Times New Roman" w:cs="Times New Roman"/>
          <w:sz w:val="24"/>
          <w:szCs w:val="24"/>
        </w:rPr>
        <w:t>rdekke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pviselete</w:t>
      </w:r>
      <w:proofErr w:type="spellEnd"/>
      <w:r>
        <w:rPr>
          <w:rFonts w:ascii="Times New Roman" w:eastAsia="Times New Roman" w:hAnsi="Times New Roman" w:cs="Times New Roman"/>
          <w:sz w:val="24"/>
          <w:szCs w:val="24"/>
        </w:rPr>
        <w:t xml:space="preserve">́t, vagy a </w:t>
      </w:r>
      <w:proofErr w:type="spellStart"/>
      <w:r>
        <w:rPr>
          <w:rFonts w:ascii="Times New Roman" w:eastAsia="Times New Roman" w:hAnsi="Times New Roman" w:cs="Times New Roman"/>
          <w:sz w:val="24"/>
          <w:szCs w:val="24"/>
        </w:rPr>
        <w:t>nemzetise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kultura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autono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mia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zvetlenu</w:t>
      </w:r>
      <w:proofErr w:type="spellEnd"/>
      <w:r>
        <w:rPr>
          <w:rFonts w:ascii="Times New Roman" w:eastAsia="Times New Roman" w:hAnsi="Times New Roman" w:cs="Times New Roman"/>
          <w:sz w:val="24"/>
          <w:szCs w:val="24"/>
        </w:rPr>
        <w:t>̈l ö</w:t>
      </w:r>
      <w:proofErr w:type="spellStart"/>
      <w:r>
        <w:rPr>
          <w:rFonts w:ascii="Times New Roman" w:eastAsia="Times New Roman" w:hAnsi="Times New Roman" w:cs="Times New Roman"/>
          <w:sz w:val="24"/>
          <w:szCs w:val="24"/>
        </w:rPr>
        <w:t>sszefu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ggo</w:t>
      </w:r>
      <w:proofErr w:type="spellEnd"/>
      <w:r>
        <w:rPr>
          <w:rFonts w:ascii="Times New Roman" w:eastAsia="Times New Roman" w:hAnsi="Times New Roman" w:cs="Times New Roman"/>
          <w:sz w:val="24"/>
          <w:szCs w:val="24"/>
        </w:rPr>
        <w:t>̋ tevé</w:t>
      </w:r>
      <w:proofErr w:type="spellStart"/>
      <w:r>
        <w:rPr>
          <w:rFonts w:ascii="Times New Roman" w:eastAsia="Times New Roman" w:hAnsi="Times New Roman" w:cs="Times New Roman"/>
          <w:sz w:val="24"/>
          <w:szCs w:val="24"/>
        </w:rPr>
        <w:t>kenyse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ella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alapí</w:t>
      </w:r>
      <w:proofErr w:type="spellStart"/>
      <w:r>
        <w:rPr>
          <w:rFonts w:ascii="Times New Roman" w:eastAsia="Times New Roman" w:hAnsi="Times New Roman" w:cs="Times New Roman"/>
          <w:sz w:val="24"/>
          <w:szCs w:val="24"/>
        </w:rPr>
        <w:t>tva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nyra</w:t>
      </w:r>
      <w:proofErr w:type="spellEnd"/>
      <w:r>
        <w:rPr>
          <w:rFonts w:ascii="Times New Roman" w:eastAsia="Times New Roman" w:hAnsi="Times New Roman" w:cs="Times New Roman"/>
          <w:sz w:val="24"/>
          <w:szCs w:val="24"/>
        </w:rPr>
        <w:t xml:space="preserve">.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II.2. A Törvény a következő kötelezettségeket írja elő a hatálya alá tartozó civil szervezetek számára, amennyiben azok a II.1. pontban leírtak alapján a Törvény értelmében külföldről támogatott szervezetnek minősülnek:</w:t>
      </w:r>
    </w:p>
    <w:p w:rsidR="00655F9F" w:rsidRDefault="00655F9F">
      <w:pPr>
        <w:pStyle w:val="normal0"/>
        <w:jc w:val="both"/>
        <w:rPr>
          <w:rFonts w:ascii="Times New Roman" w:eastAsia="Times New Roman" w:hAnsi="Times New Roman" w:cs="Times New Roman"/>
          <w:i/>
          <w:color w:val="494848"/>
          <w:sz w:val="24"/>
          <w:szCs w:val="24"/>
          <w:highlight w:val="white"/>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II.2.1. </w:t>
      </w:r>
      <w:r>
        <w:rPr>
          <w:rFonts w:ascii="Times New Roman" w:eastAsia="Times New Roman" w:hAnsi="Times New Roman" w:cs="Times New Roman"/>
          <w:i/>
          <w:sz w:val="24"/>
          <w:szCs w:val="24"/>
        </w:rPr>
        <w:t>Bejelentési kötelezettség,</w:t>
      </w:r>
      <w:r>
        <w:rPr>
          <w:rFonts w:ascii="Times New Roman" w:eastAsia="Times New Roman" w:hAnsi="Times New Roman" w:cs="Times New Roman"/>
          <w:sz w:val="24"/>
          <w:szCs w:val="24"/>
        </w:rPr>
        <w:t xml:space="preserve"> 2. § (1) bekezdés. A külföldről támogatott szervezet az ilyen szervezetté válásától számított tizenöt napon belül köteles bejelenteni a külföldről támogatott szervezetté válását a </w:t>
      </w:r>
      <w:proofErr w:type="spellStart"/>
      <w:r>
        <w:rPr>
          <w:rFonts w:ascii="Times New Roman" w:eastAsia="Times New Roman" w:hAnsi="Times New Roman" w:cs="Times New Roman"/>
          <w:sz w:val="24"/>
          <w:szCs w:val="24"/>
        </w:rPr>
        <w:t>sze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khelye</w:t>
      </w:r>
      <w:proofErr w:type="spellEnd"/>
      <w:r>
        <w:rPr>
          <w:rFonts w:ascii="Times New Roman" w:eastAsia="Times New Roman" w:hAnsi="Times New Roman" w:cs="Times New Roman"/>
          <w:sz w:val="24"/>
          <w:szCs w:val="24"/>
        </w:rPr>
        <w:t xml:space="preserve"> szerint </w:t>
      </w:r>
      <w:proofErr w:type="spellStart"/>
      <w:r>
        <w:rPr>
          <w:rFonts w:ascii="Times New Roman" w:eastAsia="Times New Roman" w:hAnsi="Times New Roman" w:cs="Times New Roman"/>
          <w:sz w:val="24"/>
          <w:szCs w:val="24"/>
        </w:rPr>
        <w:t>illete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nysze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knek</w:t>
      </w:r>
      <w:proofErr w:type="spellEnd"/>
      <w:r>
        <w:rPr>
          <w:rFonts w:ascii="Times New Roman" w:eastAsia="Times New Roman" w:hAnsi="Times New Roman" w:cs="Times New Roman"/>
          <w:sz w:val="24"/>
          <w:szCs w:val="24"/>
        </w:rPr>
        <w:t xml:space="preserve">. Ettől kezdve a szervezetet külföldről támogatott szervezetként tartják nyilván, a Civil Információs Portál vezetéséért felelős miniszter gondoskodik arról, hogy a külföldről támogatott szervezeti minőség közzététele megtörténjen, megjelenjen az e célra kialakított elektronikus felületen.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II.2.2. </w:t>
      </w:r>
      <w:r>
        <w:rPr>
          <w:rFonts w:ascii="Times New Roman" w:eastAsia="Times New Roman" w:hAnsi="Times New Roman" w:cs="Times New Roman"/>
          <w:i/>
          <w:sz w:val="24"/>
          <w:szCs w:val="24"/>
        </w:rPr>
        <w:t>Adatszolgáltatási kötelezettség</w:t>
      </w:r>
      <w:r>
        <w:rPr>
          <w:rFonts w:ascii="Times New Roman" w:eastAsia="Times New Roman" w:hAnsi="Times New Roman" w:cs="Times New Roman"/>
          <w:sz w:val="24"/>
          <w:szCs w:val="24"/>
        </w:rPr>
        <w:t xml:space="preserve">, 2. § (2) és (3) bekezdés, 1. számú melléklet. A bejelentési kötelezettség teljesítésekor, majd évente a beszámolási kötelezettsége teljesítésekor a külföldről támogatott szervezet a nyilvántartó bíróságnak szolgáltatni köteles </w:t>
      </w:r>
      <w:r>
        <w:rPr>
          <w:rFonts w:ascii="Times New Roman" w:eastAsia="Times New Roman" w:hAnsi="Times New Roman" w:cs="Times New Roman"/>
          <w:sz w:val="24"/>
          <w:szCs w:val="24"/>
        </w:rPr>
        <w:lastRenderedPageBreak/>
        <w:t xml:space="preserve">a külföldről származó támogatás összesítését,  az 500 000 forintot támogatónként el nem érő támogatások összesítését, az 500 000 forintot támogatónként elérő vagy azt meghaladó támogatásokról pedig egyenként is: összeg feltüntetése tranzakciónként a pontos forrás, természetes személy esetében név, ország, város egyéb esetben név és székhely megjelölésével. A szolgáltatott adatokat a civil szervezetek nyilvántartásában az egyesület vagy alapítvány adataihoz csatolják. Ezek az adatok - mint az alapítvány és az egyesület bírósághoz benyújtott iratai - a </w:t>
      </w:r>
      <w:proofErr w:type="spellStart"/>
      <w:r>
        <w:rPr>
          <w:rFonts w:ascii="Times New Roman" w:eastAsia="Times New Roman" w:hAnsi="Times New Roman" w:cs="Times New Roman"/>
          <w:sz w:val="24"/>
          <w:szCs w:val="24"/>
        </w:rPr>
        <w:t>Cnytv</w:t>
      </w:r>
      <w:proofErr w:type="spellEnd"/>
      <w:r>
        <w:rPr>
          <w:rFonts w:ascii="Times New Roman" w:eastAsia="Times New Roman" w:hAnsi="Times New Roman" w:cs="Times New Roman"/>
          <w:sz w:val="24"/>
          <w:szCs w:val="24"/>
        </w:rPr>
        <w:t>. 86. § (3) bekezdése alapján nyilvánosak, azokat bárki megtekintheti, azokról feljegyzést készíthet.</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II.2.3. </w:t>
      </w:r>
      <w:r>
        <w:rPr>
          <w:rFonts w:ascii="Times New Roman" w:eastAsia="Times New Roman" w:hAnsi="Times New Roman" w:cs="Times New Roman"/>
          <w:i/>
          <w:sz w:val="24"/>
          <w:szCs w:val="24"/>
        </w:rPr>
        <w:t>Közzétételi és feltüntetési kötelezettség, a címke viselésének kötelezettsége</w:t>
      </w:r>
      <w:r>
        <w:rPr>
          <w:rFonts w:ascii="Times New Roman" w:eastAsia="Times New Roman" w:hAnsi="Times New Roman" w:cs="Times New Roman"/>
          <w:sz w:val="24"/>
          <w:szCs w:val="24"/>
        </w:rPr>
        <w:t>, 2. § (5) bekezdés. A külföldről támogatott szervezetnek az a) pont szerinti bejelentést követően haladéktalanul közzé kell tennie a honlapján, valamint fel kell tüntetnie az általa kiadott sajtótermékekben és egyéb kiadványokban is, hogy külföldről támogatott szervezetnek minősül.</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II.3. A Törvény 6. §</w:t>
      </w:r>
      <w:proofErr w:type="spellStart"/>
      <w:r>
        <w:rPr>
          <w:rFonts w:ascii="Times New Roman" w:eastAsia="Times New Roman" w:hAnsi="Times New Roman" w:cs="Times New Roman"/>
          <w:sz w:val="24"/>
          <w:szCs w:val="24"/>
        </w:rPr>
        <w:t>-ával</w:t>
      </w:r>
      <w:proofErr w:type="spellEnd"/>
      <w:r>
        <w:rPr>
          <w:rFonts w:ascii="Times New Roman" w:eastAsia="Times New Roman" w:hAnsi="Times New Roman" w:cs="Times New Roman"/>
          <w:sz w:val="24"/>
          <w:szCs w:val="24"/>
        </w:rPr>
        <w:t xml:space="preserve"> módosította a </w:t>
      </w:r>
      <w:proofErr w:type="spellStart"/>
      <w:r>
        <w:rPr>
          <w:rFonts w:ascii="Times New Roman" w:eastAsia="Times New Roman" w:hAnsi="Times New Roman" w:cs="Times New Roman"/>
          <w:sz w:val="24"/>
          <w:szCs w:val="24"/>
        </w:rPr>
        <w:t>Cnytv.-t</w:t>
      </w:r>
      <w:proofErr w:type="spellEnd"/>
      <w:r>
        <w:rPr>
          <w:rFonts w:ascii="Times New Roman" w:eastAsia="Times New Roman" w:hAnsi="Times New Roman" w:cs="Times New Roman"/>
          <w:sz w:val="24"/>
          <w:szCs w:val="24"/>
        </w:rPr>
        <w:t>, amely 94. § (1) bekezdésének új h) pontja az alapítványok, 95. §</w:t>
      </w:r>
      <w:proofErr w:type="spellStart"/>
      <w:r>
        <w:rPr>
          <w:rFonts w:ascii="Times New Roman" w:eastAsia="Times New Roman" w:hAnsi="Times New Roman" w:cs="Times New Roman"/>
          <w:sz w:val="24"/>
          <w:szCs w:val="24"/>
        </w:rPr>
        <w:t>-ának</w:t>
      </w:r>
      <w:proofErr w:type="spellEnd"/>
      <w:r>
        <w:rPr>
          <w:rFonts w:ascii="Times New Roman" w:eastAsia="Times New Roman" w:hAnsi="Times New Roman" w:cs="Times New Roman"/>
          <w:sz w:val="24"/>
          <w:szCs w:val="24"/>
        </w:rPr>
        <w:t xml:space="preserve"> új e) pontja az egyesületek tekintetében úgy rendelkezik, hogy a szervezetek nyilvántartása tartalmazza a szervezetek </w:t>
      </w:r>
      <w:proofErr w:type="spellStart"/>
      <w:r>
        <w:rPr>
          <w:rFonts w:ascii="Times New Roman" w:eastAsia="Times New Roman" w:hAnsi="Times New Roman" w:cs="Times New Roman"/>
          <w:sz w:val="24"/>
          <w:szCs w:val="24"/>
        </w:rPr>
        <w:t>ku</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lfo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ldro</w:t>
      </w:r>
      <w:proofErr w:type="spellEnd"/>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mogatott</w:t>
      </w:r>
      <w:proofErr w:type="spellEnd"/>
      <w:r>
        <w:rPr>
          <w:rFonts w:ascii="Times New Roman" w:eastAsia="Times New Roman" w:hAnsi="Times New Roman" w:cs="Times New Roman"/>
          <w:sz w:val="24"/>
          <w:szCs w:val="24"/>
        </w:rPr>
        <w:t xml:space="preserve"> szervezetnek </w:t>
      </w:r>
      <w:proofErr w:type="spellStart"/>
      <w:r>
        <w:rPr>
          <w:rFonts w:ascii="Times New Roman" w:eastAsia="Times New Roman" w:hAnsi="Times New Roman" w:cs="Times New Roman"/>
          <w:sz w:val="24"/>
          <w:szCs w:val="24"/>
        </w:rPr>
        <w:t>mino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̈lésének tényét is. Ezek az adatok - mint a civil szervezetek nyilvántartásában szereplő adatok - a </w:t>
      </w:r>
      <w:proofErr w:type="spellStart"/>
      <w:r>
        <w:rPr>
          <w:rFonts w:ascii="Times New Roman" w:eastAsia="Times New Roman" w:hAnsi="Times New Roman" w:cs="Times New Roman"/>
          <w:sz w:val="24"/>
          <w:szCs w:val="24"/>
        </w:rPr>
        <w:t>Cnytv</w:t>
      </w:r>
      <w:proofErr w:type="spellEnd"/>
      <w:r>
        <w:rPr>
          <w:rFonts w:ascii="Times New Roman" w:eastAsia="Times New Roman" w:hAnsi="Times New Roman" w:cs="Times New Roman"/>
          <w:sz w:val="24"/>
          <w:szCs w:val="24"/>
        </w:rPr>
        <w:t>. 86. § (2) bekezdése alapján nyilvánosak.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II.4. A Törvény a fenti kötelezettségek </w:t>
      </w:r>
      <w:proofErr w:type="spellStart"/>
      <w:r>
        <w:rPr>
          <w:rFonts w:ascii="Times New Roman" w:eastAsia="Times New Roman" w:hAnsi="Times New Roman" w:cs="Times New Roman"/>
          <w:sz w:val="24"/>
          <w:szCs w:val="24"/>
        </w:rPr>
        <w:t>nemteljesítése</w:t>
      </w:r>
      <w:proofErr w:type="spellEnd"/>
      <w:r>
        <w:rPr>
          <w:rFonts w:ascii="Times New Roman" w:eastAsia="Times New Roman" w:hAnsi="Times New Roman" w:cs="Times New Roman"/>
          <w:sz w:val="24"/>
          <w:szCs w:val="24"/>
        </w:rPr>
        <w:t xml:space="preserve"> esetére a következő </w:t>
      </w:r>
      <w:r>
        <w:rPr>
          <w:rFonts w:ascii="Times New Roman" w:eastAsia="Times New Roman" w:hAnsi="Times New Roman" w:cs="Times New Roman"/>
          <w:i/>
          <w:sz w:val="24"/>
          <w:szCs w:val="24"/>
        </w:rPr>
        <w:t>jogkövetkezményeket</w:t>
      </w:r>
      <w:r>
        <w:rPr>
          <w:rFonts w:ascii="Times New Roman" w:eastAsia="Times New Roman" w:hAnsi="Times New Roman" w:cs="Times New Roman"/>
          <w:sz w:val="24"/>
          <w:szCs w:val="24"/>
        </w:rPr>
        <w:t xml:space="preserve"> rendeli (3.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II.4.1. Első lépésként az ügyész az erről való tudomásszerzést követően </w:t>
      </w:r>
      <w:r>
        <w:rPr>
          <w:rFonts w:ascii="Times New Roman" w:eastAsia="Times New Roman" w:hAnsi="Times New Roman" w:cs="Times New Roman"/>
          <w:i/>
          <w:sz w:val="24"/>
          <w:szCs w:val="24"/>
        </w:rPr>
        <w:t>felhívja</w:t>
      </w:r>
      <w:r>
        <w:rPr>
          <w:rFonts w:ascii="Times New Roman" w:eastAsia="Times New Roman" w:hAnsi="Times New Roman" w:cs="Times New Roman"/>
          <w:sz w:val="24"/>
          <w:szCs w:val="24"/>
        </w:rPr>
        <w:t xml:space="preserve"> az egyesületet vagy alapítványt arra, hogy a felhívás közlését követő 30 napon belül teljesítse a Törvény szerinti kötelezettségeit.</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II.4.2. Amennyiben a külföldről támogatott szervezet nem teljesíti az ügyészi felhívásban foglalt kötelezettségét, úgy az ügyész </w:t>
      </w:r>
      <w:r>
        <w:rPr>
          <w:rFonts w:ascii="Times New Roman" w:eastAsia="Times New Roman" w:hAnsi="Times New Roman" w:cs="Times New Roman"/>
          <w:i/>
          <w:sz w:val="24"/>
          <w:szCs w:val="24"/>
        </w:rPr>
        <w:t>ismételten felhívja</w:t>
      </w:r>
      <w:r>
        <w:rPr>
          <w:rFonts w:ascii="Times New Roman" w:eastAsia="Times New Roman" w:hAnsi="Times New Roman" w:cs="Times New Roman"/>
          <w:sz w:val="24"/>
          <w:szCs w:val="24"/>
        </w:rPr>
        <w:t xml:space="preserve"> 15 napos határidővel a Törvény szerinti kötelezettségei teljesítésére.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II.4.3. A II.4.2. pont szerinti határidő eredménytelen elteltét követően az ügyész kezdeményezheti, hogy a szervezetet nyilvántartó bíróság szabjon ki bírságot a szervezetre. Ez a bírság 10 000 és 900 000 forint közötti összegű lehet, a kiszabásról és a mértékről egyaránt a bíróság dönt.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II.4.4. Szintén a II.4.2. pont szerinti határidő eredménytelen elteltét követően az ügyész a civil szervezetek bírósági nyilvántartásáról és az ezzel összefüggő eljárási szabályokról szóló 2011. évi CLXXXI. törvény szabályait alkalmazza, e törvény szerint az ügyész a törvényességi felügyeleti eljárást indítványozhatja. Ebben az eljárásban a bíróság többféle döntést hozhat, amelyek közül a relevánsak a következők:</w:t>
      </w:r>
    </w:p>
    <w:p w:rsidR="00655F9F" w:rsidRDefault="00495E57">
      <w:pPr>
        <w:pStyle w:val="normal0"/>
        <w:numPr>
          <w:ilvl w:val="0"/>
          <w:numId w:val="1"/>
        </w:numPr>
        <w:contextualSpacing/>
        <w:jc w:val="both"/>
        <w:rPr>
          <w:sz w:val="24"/>
          <w:szCs w:val="24"/>
        </w:rPr>
      </w:pPr>
      <w:r>
        <w:rPr>
          <w:rFonts w:ascii="Times New Roman" w:eastAsia="Times New Roman" w:hAnsi="Times New Roman" w:cs="Times New Roman"/>
          <w:sz w:val="24"/>
          <w:szCs w:val="24"/>
        </w:rPr>
        <w:lastRenderedPageBreak/>
        <w:t>a szervezetet, illetve ha megállapítható, hogy a törvényességi felügyeleti eljárásra a szervezet képviselője adott okot, a képviselőt 10 000 Ft-tól 900 000 Ft-ig terjedő pénzbírsággal sújtja,</w:t>
      </w:r>
    </w:p>
    <w:p w:rsidR="00655F9F" w:rsidRDefault="00495E57">
      <w:pPr>
        <w:pStyle w:val="normal0"/>
        <w:numPr>
          <w:ilvl w:val="0"/>
          <w:numId w:val="1"/>
        </w:numPr>
        <w:contextualSpacing/>
        <w:jc w:val="both"/>
        <w:rPr>
          <w:sz w:val="24"/>
          <w:szCs w:val="24"/>
        </w:rPr>
      </w:pPr>
      <w:r>
        <w:rPr>
          <w:rFonts w:ascii="Times New Roman" w:eastAsia="Times New Roman" w:hAnsi="Times New Roman" w:cs="Times New Roman"/>
          <w:sz w:val="24"/>
          <w:szCs w:val="24"/>
        </w:rPr>
        <w:t xml:space="preserve">ha a szervezet működése törvényességének helyreállítása más módon nem biztosítható, a szervezet működése vagy más körülmény alapján különösen indokolt és az intézkedéstől előre láthatóan eredmény várható, legfeljebb kilencven napra </w:t>
      </w:r>
      <w:proofErr w:type="spellStart"/>
      <w:r>
        <w:rPr>
          <w:rFonts w:ascii="Times New Roman" w:eastAsia="Times New Roman" w:hAnsi="Times New Roman" w:cs="Times New Roman"/>
          <w:sz w:val="24"/>
          <w:szCs w:val="24"/>
        </w:rPr>
        <w:t>felügyelőbiztost</w:t>
      </w:r>
      <w:proofErr w:type="spellEnd"/>
      <w:r>
        <w:rPr>
          <w:rFonts w:ascii="Times New Roman" w:eastAsia="Times New Roman" w:hAnsi="Times New Roman" w:cs="Times New Roman"/>
          <w:sz w:val="24"/>
          <w:szCs w:val="24"/>
        </w:rPr>
        <w:t xml:space="preserve"> rendel ki,</w:t>
      </w:r>
    </w:p>
    <w:p w:rsidR="00655F9F" w:rsidRDefault="00495E57">
      <w:pPr>
        <w:pStyle w:val="normal0"/>
        <w:numPr>
          <w:ilvl w:val="0"/>
          <w:numId w:val="1"/>
        </w:numPr>
        <w:contextualSpacing/>
        <w:jc w:val="both"/>
        <w:rPr>
          <w:sz w:val="24"/>
          <w:szCs w:val="24"/>
        </w:rPr>
      </w:pPr>
      <w:r>
        <w:rPr>
          <w:rFonts w:ascii="Times New Roman" w:eastAsia="Times New Roman" w:hAnsi="Times New Roman" w:cs="Times New Roman"/>
          <w:sz w:val="24"/>
          <w:szCs w:val="24"/>
        </w:rPr>
        <w:t>a szervezetet megszünteti.</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III. A törvény Alaptörvény-ellenes volta</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Törvény az alapvető jogok sérelmét az alábbiak szerint eredményezi.</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Törvényben meghatározott kötelezettségek önmagukban is Alaptörvény-ellenesen sértik az indítványozónak a megjelölt, Alaptörvényben biztosított jogait, különös tekintettel a kötelezettség </w:t>
      </w:r>
      <w:proofErr w:type="spellStart"/>
      <w:r>
        <w:rPr>
          <w:rFonts w:ascii="Times New Roman" w:eastAsia="Times New Roman" w:hAnsi="Times New Roman" w:cs="Times New Roman"/>
          <w:sz w:val="24"/>
          <w:szCs w:val="24"/>
        </w:rPr>
        <w:t>nemteljesítésére</w:t>
      </w:r>
      <w:proofErr w:type="spellEnd"/>
      <w:r>
        <w:rPr>
          <w:rFonts w:ascii="Times New Roman" w:eastAsia="Times New Roman" w:hAnsi="Times New Roman" w:cs="Times New Roman"/>
          <w:sz w:val="24"/>
          <w:szCs w:val="24"/>
        </w:rPr>
        <w:t xml:space="preserve"> esetére kilátásba helyezett szankciókra is, valamint a szabályozás egésze diszkriminatív módon korlátoz Alaptörvényben biztosított jogokat.</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III.1. </w:t>
      </w:r>
      <w:proofErr w:type="spellStart"/>
      <w:r>
        <w:rPr>
          <w:rFonts w:ascii="Times New Roman" w:eastAsia="Times New Roman" w:hAnsi="Times New Roman" w:cs="Times New Roman"/>
          <w:sz w:val="24"/>
          <w:szCs w:val="24"/>
        </w:rPr>
        <w:t>Jóhírnév</w:t>
      </w:r>
      <w:proofErr w:type="spellEnd"/>
      <w:r>
        <w:rPr>
          <w:rFonts w:ascii="Times New Roman" w:eastAsia="Times New Roman" w:hAnsi="Times New Roman" w:cs="Times New Roman"/>
          <w:sz w:val="24"/>
          <w:szCs w:val="24"/>
        </w:rPr>
        <w:t xml:space="preserve"> és magánszféra</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Azzal, hogy a Törvény 1. § (1) bekezdésében az indítványozót külföldről támogatott szervezetnek minősíti, és számára a Törvény 2. § (1) bekezdése szerinti bejelentési, 2. § (3) bekezdése szerinti adatszolgáltatási, valamint a 2. § (5) bekezdése szerinti közzétételi, illetve feltüntetési kötelezettséget írja elő, valamint a 2. § (2) és (4) bekezdése és a </w:t>
      </w:r>
      <w:proofErr w:type="spellStart"/>
      <w:r>
        <w:rPr>
          <w:rFonts w:ascii="Times New Roman" w:eastAsia="Times New Roman" w:hAnsi="Times New Roman" w:cs="Times New Roman"/>
          <w:sz w:val="24"/>
          <w:szCs w:val="24"/>
        </w:rPr>
        <w:t>Cnytv</w:t>
      </w:r>
      <w:proofErr w:type="spellEnd"/>
      <w:r>
        <w:rPr>
          <w:rFonts w:ascii="Times New Roman" w:eastAsia="Times New Roman" w:hAnsi="Times New Roman" w:cs="Times New Roman"/>
          <w:sz w:val="24"/>
          <w:szCs w:val="24"/>
        </w:rPr>
        <w:t>. 94. § (1) bekezdés h) pontja és 95. § e) pontja alapján ennek tényét nyilvános nyilvántartásokban rendeli rögzíteni, az Alaptörvény VI. cikkében biztosított jó hírnév tiszteletben tartásához és ugyanezen cikkben biztosított, összefoglaló néven magánszféra-jogokként megnevezhető magán- és családi élet, otthon, kapcsolattartás tiszteletben tartásához, valamint a személyes adatok védelméhez való jogának sérelmét okozza. Ezek a jogok az Alaptörvény I. cikk (4) bekezdése értelmében a törvény alapján létrehozott jogalanyok számára is biztosítottak.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III.1.1. A </w:t>
      </w:r>
      <w:proofErr w:type="spellStart"/>
      <w:r>
        <w:rPr>
          <w:rFonts w:ascii="Times New Roman" w:eastAsia="Times New Roman" w:hAnsi="Times New Roman" w:cs="Times New Roman"/>
          <w:sz w:val="24"/>
          <w:szCs w:val="24"/>
        </w:rPr>
        <w:t>jóhírnév</w:t>
      </w:r>
      <w:proofErr w:type="spellEnd"/>
      <w:r>
        <w:rPr>
          <w:rFonts w:ascii="Times New Roman" w:eastAsia="Times New Roman" w:hAnsi="Times New Roman" w:cs="Times New Roman"/>
          <w:sz w:val="24"/>
          <w:szCs w:val="24"/>
        </w:rPr>
        <w:t xml:space="preserve"> sérelmét megalapozó indokok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az indítványozót “külföldről támogatott szervezetként” minősíti. Köteles magát “külföldről támogatott szervezetként” azonosítani, ilyenként bejelentést tenni, ezzel a civil szervezetek között külföldről támogatott szervezetként nyilvános és közhiteles nyilvántartásba vetetni magát, és ezt a címkét honlapján és kiadványain feltüntetni. Jelenlegi magyarországi politikai nyilvánosságban a külföldről támogatott jelző kizárólag arra alkalmas, hogy a szervezetek hitelességét, a közösség számára hasznos voltuk miatti bizalmat aláássa. Bár az alkotmánybíráskodás eredendően és lényegileg normák alkotmányosságáról szóló ítélkezés, a társadalmi valóságra nem lehet vak. Ahogy az "élő jog" doktrínája alapján a jogalkalmazás során ténylegesen tulajdonított, "normává szilárdult" jelentést veszi alapul az Alkotmánybíróság, úgy jelen esetben sem tekinthet el attól, hogy a "külföldről támogatott" </w:t>
      </w:r>
      <w:r>
        <w:rPr>
          <w:rFonts w:ascii="Times New Roman" w:eastAsia="Times New Roman" w:hAnsi="Times New Roman" w:cs="Times New Roman"/>
          <w:sz w:val="24"/>
          <w:szCs w:val="24"/>
        </w:rPr>
        <w:lastRenderedPageBreak/>
        <w:t xml:space="preserve">valós jelentése mi az aktuális politikai kontextusban, különösen egy olyan ügyben, amely a </w:t>
      </w:r>
      <w:proofErr w:type="spellStart"/>
      <w:r>
        <w:rPr>
          <w:rFonts w:ascii="Times New Roman" w:eastAsia="Times New Roman" w:hAnsi="Times New Roman" w:cs="Times New Roman"/>
          <w:sz w:val="24"/>
          <w:szCs w:val="24"/>
        </w:rPr>
        <w:t>jóhírnév</w:t>
      </w:r>
      <w:proofErr w:type="spellEnd"/>
      <w:r>
        <w:rPr>
          <w:rFonts w:ascii="Times New Roman" w:eastAsia="Times New Roman" w:hAnsi="Times New Roman" w:cs="Times New Roman"/>
          <w:sz w:val="24"/>
          <w:szCs w:val="24"/>
        </w:rPr>
        <w:t xml:space="preserve"> sérelmével kapcsolatos. Ha ezt nem veszi figyelembe az Alkotmánybíróság, akkor olyan jelentéstartalom alapján ítéli meg a norma alkotmányosságát, amelynek nincs köze a valós társadalmi jelentéséhez.</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címke megbélyegző, lealacsonyító jellegét megerősíti maga a Törvény és annak indokolása is. Az általános indokolás szerint a Törvény célja “látni és láttatni tudni azt, hogy mely szervezetek külföldről támogatott szervezetnek” és megteremteni “annak lehetőségét, hogy a nyilvánosság számára egyértelmű legyen, milyen szervezetek, milyen érdekek mentén kívánnak hatni a magyar állam és egyes polgárai véleményére, magatartására.” A Törvény megalkotói a Törvény preambulumában azzal a feltételezéssel élnek, hogy “külföldi érdekcsoportok e szervezetek társadalmi befolyásán keresztül saját érdekeiket, nem pedig közösségi célokat érvényesíthessenek Magyarország politikai és társadalmi életében”, és ez “veszélyeztetheti az ország politikai, gazdasági érdekeit, a törvényes intézmények befolyásmentes működését.” A Törvény a külföldről támogatott </w:t>
      </w:r>
      <w:proofErr w:type="spellStart"/>
      <w:r>
        <w:rPr>
          <w:rFonts w:ascii="Times New Roman" w:eastAsia="Times New Roman" w:hAnsi="Times New Roman" w:cs="Times New Roman"/>
          <w:sz w:val="24"/>
          <w:szCs w:val="24"/>
        </w:rPr>
        <w:t>szervezetekkénti</w:t>
      </w:r>
      <w:proofErr w:type="spellEnd"/>
      <w:r>
        <w:rPr>
          <w:rFonts w:ascii="Times New Roman" w:eastAsia="Times New Roman" w:hAnsi="Times New Roman" w:cs="Times New Roman"/>
          <w:sz w:val="24"/>
          <w:szCs w:val="24"/>
        </w:rPr>
        <w:t xml:space="preserve"> minősítéssel és a kötelezettségekkel megvalósított jogkorlátozást a nemzetbiztonságra, a nemzeti szuverenitás védelmére, a pénzmosás elleni közdelemre és a terrorizmus finanszírozásának megelőzésére alapozza.</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anélkül, hogy erre bármiféle bizonyíték a rendelkezésre állna, abból a feltételezésből indul ki, hogy a közéletben szerepet vállaló, finanszírozásukat részben külföldi forrásból  biztosító szervezetek nem rendelkezhetnek saját véleménnyel, nem követhetik saját szervezeti céljaikat, hanem ehelyett a támogatóik érdekeit szolgálják. Azzal, hogy a Törvény külföldinek minősíti az európai uniós forrásokat is, ha azt közvetlenül az Európai Unió szerve utalja át, a felsorolt veszélyforrásként azonosítja a Törvény magát az Európai Uniót is. Emellett minden tényszerűség nélkül hivatkozik a nemzetbiztonság, a nemzeti szuverenitás, a pénzmosás, valamint a terrorizmus finanszírozásának veszélyére. Azzal, hogy a Törvény szerint e szervezetek külföldi finanszírozású szervezetként való megjelölésére, ilyenként történő nyilvántartására és a címke kötelező használatára e veszélyek miatt van szükség, azt a semmivel alá nem támasztott benyomást kelti, hogy e szervezetek veszélyesek a nemzetbiztonságra, a nemzeti szuverenitásra, kapcsolatban állnak a pénzmosással vagy a terrorizmussal. Ezzel a céljai elérésére alkalmatlan jogkorlátozással az érintett szervezetekkel szemben bizalmatlanságot kelt és gyanúba keveri őket.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Erre a kormányzat retorikája is ráerősít. Itt csak az “Állítsuk meg Brüsszelt!” címet viselő “nemzeti konzultáció” során minden magyar háztartásba eljuttatott kérdőív kockázatos tevékenységnek, és a belügyekbe való beavatkozásnak minősíti a külföldről támogatott szervezetek tevékenységét. A kérdőív a következő kérdést tartalmazza: „Egyre több külföldről támogatott szervezet működik Magyarországon azzal a céllal, hogy hazánk belügyeibe átláthatatlan módon beavatkozzon. Ezek működése veszélyeztetheti függetlenségünket. Ön szerint mit tegyen Magyarország?” A két válaszlehetőség: a)”Kötelezzük őket arra, hogy regisztráltassák magukat, vállalva, hogy melyik ország vagy </w:t>
      </w:r>
      <w:r>
        <w:rPr>
          <w:rFonts w:ascii="Times New Roman" w:eastAsia="Times New Roman" w:hAnsi="Times New Roman" w:cs="Times New Roman"/>
          <w:sz w:val="24"/>
          <w:szCs w:val="24"/>
        </w:rPr>
        <w:lastRenderedPageBreak/>
        <w:t>szervezet megbízásából és milyen céllal tevékenykednek.” és b) “Hagyjuk, hogy továbbra is ellenőrizetlenül fejthessék ki kockázatos tevékenységüket.”</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Mindezek alapján a “külföldről támogatott szervezet” megjelölés részben a Törvény preambuluma, részben indokolása alapján is, de a kormányzat civilekkel kapcsolatos retorikája által is megerősítetten nem semleges, leíró megjelölés.</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ezzel megvalósított jóhírnév-sérelem szükségtelen, a fentiek szerint alkalmatlan és aránytalan korlátozás eredménye, ennélfogva nem felel meg az Alaptörvény I. cikk (3) bekezdésében foglalt azon követelménynek, amely szerint alapvető jog más alapvető jog érvényesülése vagy valamely alkotmányos érték védelme érdekében, a feltétlenül szükséges mértékben, az elérni kívánt céllal arányosan, az alapvető jog lényeges tartalmának tiszteletben tartásával korlátozható, ezért Alaptörvény-ellenes.</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III.1.2. A magánszféra és a személyes adatok védelméhez való jog sérelmét megalapozó indokok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Alaptörvény VI. cikkében biztosított magánszféra-jogok magán- és családi élet, otthon, kapcsolattartás tiszteletben tartásához, valamint a személyes adatok védelméhez való jog az érintett szervezeteket és tagjaikat is megilleti. Ebből pedig az következik, hogy minden, a szervezetek ellenőrzését vagy átláthatóságát biztosító intézkedésnek az elérni kívánt céllal arányosnak kell lennie, nem lehetnek indokolatlanul </w:t>
      </w:r>
      <w:proofErr w:type="spellStart"/>
      <w:r>
        <w:rPr>
          <w:rFonts w:ascii="Times New Roman" w:eastAsia="Times New Roman" w:hAnsi="Times New Roman" w:cs="Times New Roman"/>
          <w:sz w:val="24"/>
          <w:szCs w:val="24"/>
        </w:rPr>
        <w:t>invazívak</w:t>
      </w:r>
      <w:proofErr w:type="spellEnd"/>
      <w:r>
        <w:rPr>
          <w:rFonts w:ascii="Times New Roman" w:eastAsia="Times New Roman" w:hAnsi="Times New Roman" w:cs="Times New Roman"/>
          <w:sz w:val="24"/>
          <w:szCs w:val="24"/>
        </w:rPr>
        <w:t xml:space="preserve">, és nem követelhetnek többet, mint más magánszervezetektől.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Emberi Jogok Európai Bíróságának megállapítása szerint a civil szervezeteket nem terhelheti a tagjaik neve és címe hozzáférhetővé tételének általános kötelezettsége, ez ugyanis a magánélet védelméhez való joguk sérelmét jelentené (</w:t>
      </w:r>
      <w:r>
        <w:rPr>
          <w:rFonts w:ascii="Times New Roman" w:eastAsia="Times New Roman" w:hAnsi="Times New Roman" w:cs="Times New Roman"/>
          <w:i/>
          <w:sz w:val="24"/>
          <w:szCs w:val="24"/>
        </w:rPr>
        <w:t xml:space="preserve">National </w:t>
      </w:r>
      <w:proofErr w:type="spellStart"/>
      <w:r>
        <w:rPr>
          <w:rFonts w:ascii="Times New Roman" w:eastAsia="Times New Roman" w:hAnsi="Times New Roman" w:cs="Times New Roman"/>
          <w:i/>
          <w:sz w:val="24"/>
          <w:szCs w:val="24"/>
        </w:rPr>
        <w:t>Association</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Teachers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Further</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Education v.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United </w:t>
      </w:r>
      <w:proofErr w:type="spellStart"/>
      <w:r>
        <w:rPr>
          <w:rFonts w:ascii="Times New Roman" w:eastAsia="Times New Roman" w:hAnsi="Times New Roman" w:cs="Times New Roman"/>
          <w:i/>
          <w:sz w:val="24"/>
          <w:szCs w:val="24"/>
        </w:rPr>
        <w:t>Kingdom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w:t>
      </w:r>
      <w:proofErr w:type="spellEnd"/>
      <w:r>
        <w:rPr>
          <w:rFonts w:ascii="Times New Roman" w:eastAsia="Times New Roman" w:hAnsi="Times New Roman" w:cs="Times New Roman"/>
          <w:sz w:val="24"/>
          <w:szCs w:val="24"/>
        </w:rPr>
        <w:t xml:space="preserve"> no. 28910/95, </w:t>
      </w:r>
      <w:proofErr w:type="spellStart"/>
      <w:r>
        <w:rPr>
          <w:rFonts w:ascii="Times New Roman" w:eastAsia="Times New Roman" w:hAnsi="Times New Roman" w:cs="Times New Roman"/>
          <w:sz w:val="24"/>
          <w:szCs w:val="24"/>
        </w:rPr>
        <w:t>decision</w:t>
      </w:r>
      <w:proofErr w:type="spellEnd"/>
      <w:r>
        <w:rPr>
          <w:rFonts w:ascii="Times New Roman" w:eastAsia="Times New Roman" w:hAnsi="Times New Roman" w:cs="Times New Roman"/>
          <w:sz w:val="24"/>
          <w:szCs w:val="24"/>
        </w:rPr>
        <w:t xml:space="preserve"> of 16 </w:t>
      </w:r>
      <w:proofErr w:type="spellStart"/>
      <w:r>
        <w:rPr>
          <w:rFonts w:ascii="Times New Roman" w:eastAsia="Times New Roman" w:hAnsi="Times New Roman" w:cs="Times New Roman"/>
          <w:sz w:val="24"/>
          <w:szCs w:val="24"/>
        </w:rPr>
        <w:t>April</w:t>
      </w:r>
      <w:proofErr w:type="spellEnd"/>
      <w:r>
        <w:rPr>
          <w:rFonts w:ascii="Times New Roman" w:eastAsia="Times New Roman" w:hAnsi="Times New Roman" w:cs="Times New Roman"/>
          <w:sz w:val="24"/>
          <w:szCs w:val="24"/>
        </w:rPr>
        <w:t>, 1998). Ugyanez vonatkozik a támogatók magánszférájára is, a magántámogatók adatainak hozzáférhetővé tétele legitim jogkorlátozási cél elérésére nem alkalmas, ahhoz nem szükséges, azzal nem arányos. Egy-egy szervezetnek támogatást nyújtó magánszemélyek listája az érintett támogató személyek kapcsolatait, véleményét és világnézeti meggyőződését fedheti fel. A támogatás tényéből az érintettek politikai véleményére is lehet következtetni, és – tekintettel arra, hogy az adatból levonható, érintettre vonatkozó következtetés is személyes adat – ezzel különleges adatok nyilvánosságra hozatalát írja elő a törvény. Továbbá a szervezeteket is megfosztja attól a lehetőségtől, hogy magánügyként kezeljék, mely magánszemélyek támogatják őket. A támogatások ilyen mértékű transzparenciája sérti az egyéneknek azt a jogát, hogy szabad elhatározás alapján bármely civil szervezetet belátásuk, meggyőződésük szerint – akár a nevük felfedése nélkül is – támogassanak, hiszen ezáltal az adataik nyilvánosságra kerülhetnek. Amennyiben tehát anonim módon kívánnának támogatni egyes szervezeteket, úgy a nyilvánosság ettől visszatarthatja őket, aminek következtében maga a civil szervezet esik el a támogatástól.</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 xml:space="preserve">Ez a korlátozás sem elégíti ki a jogkorlátozással szemben támasztott, az Alaptörvény I. cikk (3) bekezdése szerinti követelményeket.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támogatók személyazonosságának az állami szervek részére való hozzáférhetővé tétele és egyben nyilvánosságra hozatala szükségtelen korlátozása mind a szervezetek, mind támogatóik magánszféra-jogainak. A támogatóknak, adományozóknak ugyanis nincs és nem is lehet egy alapítvány vagy egyesület tevékenységére olyan meghatározó befolyásuk, ami adataiknak az állami szervek és a nyilvánosság számára a kötelező hozzáférhetővé tételét szükségessé tenné. A szabályozás nem tesz különbséget az intézményi támogatást nyújtók, az egy-egy projekt megvalósítását támogatók, és a szervezetet általában magánadományokkal támogatók között, holott jelentős különbségek vannak abban, hogy a különböző támogatási formák milyen kötelezettségeket jelentenek a szervezetek tevékenységére nézve (kötnek-e támogatási szerződést, meghatározzák-e a projekt megvalósításának indikátorait, be kell-e számolni a projektről a projekt ideje alatt és azt követően). A jogkorlátozás szükségtelensége a magánadományok tekintetében a legszembetűnőbb, amelyet magánszemélyek vagy szervezetek egy bizonyos cél elérésén dolgozó szervezetnek adnak általában, de nem egy-egy projektjére vagy tevékenységére, így sem indikátorokkal, sem beszámolási mechanizmusokkal nem járnak ezek a támogatások, ennélfogva azon túl, hogy a szervezet fennmaradását és működését biztosítja, jogilag nem befolyásolja egyáltalán, hogy az mit és mikor tesz. Az ilyen támogatások nem jogi kötelezettségeket teremtenek, hanem lehetőségeket biztosítanak a szervezetek számára a tevékenységeikhez.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ugyan különbséget tesz az egy évben 500 000 forintot </w:t>
      </w:r>
      <w:proofErr w:type="spellStart"/>
      <w:r>
        <w:rPr>
          <w:rFonts w:ascii="Times New Roman" w:eastAsia="Times New Roman" w:hAnsi="Times New Roman" w:cs="Times New Roman"/>
          <w:sz w:val="24"/>
          <w:szCs w:val="24"/>
        </w:rPr>
        <w:t>ta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mogato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nke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nt</w:t>
      </w:r>
      <w:proofErr w:type="spellEnd"/>
      <w:r>
        <w:rPr>
          <w:rFonts w:ascii="Times New Roman" w:eastAsia="Times New Roman" w:hAnsi="Times New Roman" w:cs="Times New Roman"/>
          <w:sz w:val="24"/>
          <w:szCs w:val="24"/>
        </w:rPr>
        <w:t xml:space="preserve"> el nem é</w:t>
      </w:r>
      <w:proofErr w:type="spellStart"/>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 xml:space="preserve">̋, valamint az azt elérő vagy meghaladó támogatást nyújtó támogatók között, amennyiben az előbbiekről összesítve, az utóbbiakról egyenként kell beszámolni, feltehetően a kisebb adományokat nyújtó támogatók magánszférájának kímélete érdekében. Ez a megoldás azonban éppen arra mutat rá, hogy a magasabb összeget adományozók, valamint a szervezetek magánszférájának korlátozása alkalmatlan a célja elérésére. Amennyiben a jogkorlátozás célja valóban a közéletben megnyilvánuló szervezetek átláthatóságának biztosítása, valamint a terrorizmus és a pénzmosás finanszírozása elleni fellépés, akkor ennek a célnak az elérésére alkalmatlan, tekintettel arra, hogy a név szerinti megjelenítés az adományok több részletben, különböző személyeken keresztül történő nyújtásával könnyedén elkerülhető a pénzmosásban vagy terrorizmus finanszírozásában, vagy bármely más okból rejtőzködni kívánó támogatók számára. A Törvény ezzel a megoldással, célja elérésére alkalmatlan módon csak azokat sújtja, akik ezzel az egyszerű trükkel nem élnek.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Fontos azt is szem előtt tartani, hogy az egyesületek és az alapítványok nem gyakorolnak közhatalmat, és nem is céljuk a közhatalom megszerzése, a civil szervezeti működési mód eleve kizárja a közhatalom megszerzésének lehetőségét. A szabályozásnak ezért szükségképpen másnak kell lennie, mint a közhatalmi szervek vagy a pártok tekintetében, mert a civil szervezetek helyzete ezekkel nem analóg. A civil szervezetek a mindenkit megillető alapvető jogokkal élve dolgoznak szervezeti céljaik elérésén. Ezek a célok lehetnek magáncélok, de lehetnek társadalmi célok is, ilyen értelemben politikaiak. Mivel azonban a </w:t>
      </w:r>
      <w:r>
        <w:rPr>
          <w:rFonts w:ascii="Times New Roman" w:eastAsia="Times New Roman" w:hAnsi="Times New Roman" w:cs="Times New Roman"/>
          <w:sz w:val="24"/>
          <w:szCs w:val="24"/>
        </w:rPr>
        <w:lastRenderedPageBreak/>
        <w:t xml:space="preserve">civil szervezetek nem a közhatalom birtokában, illetve nem is azon az úton dolgoznak e célokért, hogy a választásokon jelöltjeiket közhatalmi pozícióba juttassák, hanem mindenkit megillető alapvető jogok gyakorlásával, befolyásuk, közéleti súlyuk semmiképpen nem indokol ugyanolyan átláthatósági követelményeket, mint a közhatalmat gyakorló intézmények, vagy a közhatalomba igyekvő politikai pártok esetében. A szervezetek esetleges külföldi befolyásolása  továbbá közel sem hordoz magában olyan kockázatot, mintha egy közhatalmat gyakorló szerv vagy egy politikai párt külföldi befolyás alá kerülése okozna. Előbbiek a közhatalom birtokában másokat kötelező döntéseket hozhatnak, utóbbiak feletti befolyásszerzés pedig kockázatos, mert a párt a választások útján közhatalmi pozícióba juttatott jelöltjeivel kifejezetten arra törekszik, hogy közvetlenül alakítsa a közhatalmi döntéseket. A közhatalmi szervek, illetve a politikai pártok részére nyújtott támogatások átláthatóságára vonatkozó elvárások emiatt nem vonatkoztathatók a magánautonómia intézményeiként létrejött civil szervezeteket támogatóira. Ami tehát a közhatalmi szervek vagy a politikai pártok részére juttatott támogatások átláthatósága érdekében indokolt, az a civil szervezetek esetében nem az.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Végül megjegyezzük azt is, hogy a törvény az 500.000 forintot elérő külföldi támogatások tekintetében az akár magánszemély támogató azonosíthatóságát írja elő. A körülbelül 35.000 milliárd (35.000.000.000.000) forint értékű GDP-vel rendelkező Magyarország szuverenitására nem lehet veszélyes egy ötszázezer (500.000) forintos (a GDP hetvenmilliomod részét kitevő), közhatalommal nem rendelkező, és azzal rendelkezni nem is kívánó szervezetnek juttatott külföldi támogatás. A nemzeti szuverenitás ekkora összegből, közhatalom nélkül nem ingatható meg. Ennélfogva a korlátozás alkalmatlan is célja elérésére.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III.2. A véleménynyilvánítási szabadság sérelmét megalapozó indokok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továbbá azzal, hogy 1. § (1) bekezdésében az indítványozót külföldről támogatott szerveknek minősíti, és számára a Törvény 2. § (1) bekezdése szerinti bejelentési, 2. § (3) bekezdése szerinti adatszolgáltatási, valamint a 2. § (5) bekezdése szerinti közzétételi, illetve feltüntetési kötelezettséget írja elő, valamint a 2. § (2) és (4) bekezdése és a </w:t>
      </w:r>
      <w:proofErr w:type="spellStart"/>
      <w:r>
        <w:rPr>
          <w:rFonts w:ascii="Times New Roman" w:eastAsia="Times New Roman" w:hAnsi="Times New Roman" w:cs="Times New Roman"/>
          <w:sz w:val="24"/>
          <w:szCs w:val="24"/>
        </w:rPr>
        <w:t>Cnytv</w:t>
      </w:r>
      <w:proofErr w:type="spellEnd"/>
      <w:r>
        <w:rPr>
          <w:rFonts w:ascii="Times New Roman" w:eastAsia="Times New Roman" w:hAnsi="Times New Roman" w:cs="Times New Roman"/>
          <w:sz w:val="24"/>
          <w:szCs w:val="24"/>
        </w:rPr>
        <w:t xml:space="preserve">. 94. § (1) bekezdés h) pontja és 95. § e) pontja alapján ennek tényét nyilvános nyilvántartásokban rendeli rögzíteni, sérti az indítványozónak az Alaptörvény IX. cikke által is biztosított szabad véleménynyilvánítás jogát, azzal, hogy vele szemben a III.1.1. pontban körülírt módon bizalmatlanságot kelt, ezzel szükségtelen és aránytalan módon beavatkozik abba, hogy miképpen vehet részt a demokratikus közéleti vitákban.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indítványozó a közéleti viták aktív résztvevője. Az indítványhoz mellékelt </w:t>
      </w:r>
      <w:commentRangeStart w:id="6"/>
      <w:r>
        <w:rPr>
          <w:rFonts w:ascii="Times New Roman" w:eastAsia="Times New Roman" w:hAnsi="Times New Roman" w:cs="Times New Roman"/>
          <w:sz w:val="24"/>
          <w:szCs w:val="24"/>
        </w:rPr>
        <w:t>alapszabálya/alapító okirata</w:t>
      </w:r>
      <w:commentRangeEnd w:id="6"/>
      <w:r>
        <w:commentReference w:id="6"/>
      </w:r>
      <w:r>
        <w:rPr>
          <w:rFonts w:ascii="Times New Roman" w:eastAsia="Times New Roman" w:hAnsi="Times New Roman" w:cs="Times New Roman"/>
          <w:sz w:val="24"/>
          <w:szCs w:val="24"/>
        </w:rPr>
        <w:t xml:space="preserve"> szerinti szervezeti céljaik közügyekkel kapcsolatosak. </w:t>
      </w:r>
      <w:commentRangeStart w:id="7"/>
      <w:r>
        <w:rPr>
          <w:rFonts w:ascii="Times New Roman" w:eastAsia="Times New Roman" w:hAnsi="Times New Roman" w:cs="Times New Roman"/>
          <w:sz w:val="24"/>
          <w:szCs w:val="24"/>
        </w:rPr>
        <w:t>ITT KIEGÉSZTÉS A SZERVEZETRŐL</w:t>
      </w:r>
      <w:commentRangeEnd w:id="7"/>
      <w:r>
        <w:commentReference w:id="7"/>
      </w:r>
      <w:r>
        <w:rPr>
          <w:rFonts w:ascii="Times New Roman" w:eastAsia="Times New Roman" w:hAnsi="Times New Roman" w:cs="Times New Roman"/>
          <w:sz w:val="24"/>
          <w:szCs w:val="24"/>
        </w:rPr>
        <w:t xml:space="preserve">. Mindezt a véleménynyilvánítási szabadságával élve, </w:t>
      </w:r>
      <w:r>
        <w:rPr>
          <w:rFonts w:ascii="Times New Roman" w:eastAsia="Times New Roman" w:hAnsi="Times New Roman" w:cs="Times New Roman"/>
          <w:color w:val="131313"/>
          <w:sz w:val="24"/>
          <w:szCs w:val="24"/>
          <w:highlight w:val="white"/>
        </w:rPr>
        <w:t>fontos közügyekben, törvényes eszközökkel teszi.</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véleménynyilvánítás szabadsága alapján a civil szervezetek szabadon vehetnek részt a demokratikus vitákban, tekintet nélkül arra, hogy egyetértenek-e a mindenkori kormánnyal </w:t>
      </w:r>
      <w:r>
        <w:rPr>
          <w:rFonts w:ascii="Times New Roman" w:eastAsia="Times New Roman" w:hAnsi="Times New Roman" w:cs="Times New Roman"/>
          <w:sz w:val="24"/>
          <w:szCs w:val="24"/>
        </w:rPr>
        <w:lastRenderedPageBreak/>
        <w:t xml:space="preserve">vagy parlamenti többséggel, vagy az álláspontjuk a jogszabályok megváltoztatását sürgetik-e. A közéletben való részvétel, a társadalmi és politikai problémáknak a társadalom tagjai közötti párbeszéd útján való megoldása a demokráciák sajátja. A demokratikus társadalomban az állam a társadalom tagjait magán- és közéleti döntésekre képes polgároknak tekinti, akiknek joguk van eldönteni, hogy mely véleménnyel azonosulnak, és melyekkel szemben fogalmaznak meg ellenvéleményt. A vita akkor demokratikus, ha a vélemények piacán versengő álláspontok közül a polgárok az álláspontok meggyőző ereje alapján választhatnak.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Törvény ebbe avatkozik be szükségtelen és aránytalan módon azzal, hogy bizonyos véleményeket a “külföldről támogatott” jelzővel hiteltelenít azáltal, hogy az érintett szervezeteket és az általuk képviselt álláspontokat  “külföldről támogatottnak” minősítve ki akarja rekeszteni a demokratikus közéleti vitákból, mintha e vélemények károsak és illegitimek lennének.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Ahogy azt a III.1.1. pontban is leírtuk, a “külföldről támogatott” jelző nem semleges és nem leíró. Megbélyegző, lealacsonyító jellegét megerősíti maga a Törvény és annak indokolása is. Utóbbi szerint a Törvény célja “látni és láttatni tudni azt, hogy mely szervezetek külföldről támogatott szervezetnek” és megteremteni “annak lehetőségét, hogy a nyilvánosság számára egyértelmű legyen, milyen szervezetek, milyen érdekek mentén kívánnak hatni a magyar állam és egyes polgárai véleményére, magatartására.” A Törvény ezzel – a preambulumával együtt olvasva – azt állítja, hogy a külföldi támogatás külföldi érdekek képviseletével jár együtt. A preambulumában úgy fogalmaz, hogy “külföldi érdekcsoportok e szervezetek társadalmi befolyásán keresztül saját érdekeiket, nem pedig közösségi célokat érvényesíthessenek Magyarország politikai és társadalmi életében”, és ez “veszélyeztetheti az ország politikai, gazdasági érdekeit, a törvényes intézmények befolyásmentes működését.” A Törvény továbbá anélkül, hogy erre bármiféle bizonyíték a rendelkezésre állna, abból a feltételezésből indul ki, hogy a közéletben szerepet vállaló, finanszírozásukat részben külföldi forrásból  biztosító szervezetek nem rendelkezhetnek saját véleménnyel, nem követhetik saját szervezeti céljaikat, hanem ehelyett a támogatóik érdekeit szolgálják. Minden tényszerűség nélkül hivatkozik a nemzetbiztonság, a nemzeti szuverenitás, a pénzmosás, valamint a terrorizmus finanszírozásának veszélyére. Azzal, hogy a Törvény szerint e szervezetek külföldi finanszírozású szervezetként való megjelölésére, ilyenként történő nyilvántartására és a címke kötelező használatára e veszélyek miatt van szükség, azt a semmivel alá nem támasztott benyomást kelti, hogy e szervezetek veszélyesek a nemzetbiztonságra, a nemzeti szuverenitásra, kapcsolatban állnak a pénzmosással vagy a terrorizmussal. Az indítványozóval kapcsolatban soha nem merült fel semmi ezzel kapcsolatos vád. Ezzel a céljai elérésére alkalmatlan jogkorlátozással az érintett szervezetekkel szemben bizalmatlanságot kelt és gyanúba keveri őket. A jelző, illetve címke jelenlegi politikai kontextusban irányadó tartalmának nem semleges voltával kapcsolatban </w:t>
      </w:r>
      <w:proofErr w:type="spellStart"/>
      <w:r>
        <w:rPr>
          <w:rFonts w:ascii="Times New Roman" w:eastAsia="Times New Roman" w:hAnsi="Times New Roman" w:cs="Times New Roman"/>
          <w:sz w:val="24"/>
          <w:szCs w:val="24"/>
        </w:rPr>
        <w:t>imsételten</w:t>
      </w:r>
      <w:proofErr w:type="spellEnd"/>
      <w:r>
        <w:rPr>
          <w:rFonts w:ascii="Times New Roman" w:eastAsia="Times New Roman" w:hAnsi="Times New Roman" w:cs="Times New Roman"/>
          <w:sz w:val="24"/>
          <w:szCs w:val="24"/>
        </w:rPr>
        <w:t xml:space="preserve"> utalunk “Állítsuk meg Brüsszelt!” címet viselő “nemzeti konzultáció” során minden magyar háztartásba eljuttatott kérdőív fentebb idézett kérdésére, amely kockázatos tevékenységnek, </w:t>
      </w:r>
      <w:r>
        <w:rPr>
          <w:rFonts w:ascii="Times New Roman" w:eastAsia="Times New Roman" w:hAnsi="Times New Roman" w:cs="Times New Roman"/>
          <w:sz w:val="24"/>
          <w:szCs w:val="24"/>
        </w:rPr>
        <w:lastRenderedPageBreak/>
        <w:t xml:space="preserve">és a belügyekbe való beavatkozásnak minősíti a külföldről támogatott szervezetek tevékenységét.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véleményt megfogalmazókat a 2. § (5) bekezdése arra is kötelezi, hogy ezt a címkét tüntessék fel a véleményük hordozóján, honlapjukon és minden kiadványon. A vélemények piacán versengő álláspontok között az indítványozó így a Törvény beavatkozása folytán hátránnyal indul. Az indítványozó álláspontja minden kiadványán és a honlapján is együtt fog szerepelni a </w:t>
      </w:r>
      <w:proofErr w:type="spellStart"/>
      <w:r>
        <w:rPr>
          <w:rFonts w:ascii="Times New Roman" w:eastAsia="Times New Roman" w:hAnsi="Times New Roman" w:cs="Times New Roman"/>
          <w:sz w:val="24"/>
          <w:szCs w:val="24"/>
        </w:rPr>
        <w:t>hiteltelenítését</w:t>
      </w:r>
      <w:proofErr w:type="spellEnd"/>
      <w:r>
        <w:rPr>
          <w:rFonts w:ascii="Times New Roman" w:eastAsia="Times New Roman" w:hAnsi="Times New Roman" w:cs="Times New Roman"/>
          <w:sz w:val="24"/>
          <w:szCs w:val="24"/>
        </w:rPr>
        <w:t xml:space="preserve"> szolgáló - a kormányzati kommunikációból áradó és a Törvény preambuluma és indokolása által is megerősített - üzenettel, amely szerint a vélemény forrása a magyar nemzet érdekeitől különböző érdekeket szolgál.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Fontos e körben, hogy nem arról van szó, hogy az indítványozó szerint ne tartozna bárki </w:t>
      </w:r>
      <w:proofErr w:type="spellStart"/>
      <w:r>
        <w:rPr>
          <w:rFonts w:ascii="Times New Roman" w:eastAsia="Times New Roman" w:hAnsi="Times New Roman" w:cs="Times New Roman"/>
          <w:sz w:val="24"/>
          <w:szCs w:val="24"/>
        </w:rPr>
        <w:t>véleménynyilváítási</w:t>
      </w:r>
      <w:proofErr w:type="spellEnd"/>
      <w:r>
        <w:rPr>
          <w:rFonts w:ascii="Times New Roman" w:eastAsia="Times New Roman" w:hAnsi="Times New Roman" w:cs="Times New Roman"/>
          <w:sz w:val="24"/>
          <w:szCs w:val="24"/>
        </w:rPr>
        <w:t xml:space="preserve"> szabadságába az, hogy közülük egyeseket vagy akár mindegyiküket azokkal a jelzőkkel illessék, amelyeket a jelen panaszban támadott címke - a törvény indokolására is tekintettel - előhív. A panaszos álláspontja szerint azonban lényegi különbség van aközött, hogy egy adott minősítés róla szabadon elmondható és a között, hogy az adott minősítést ő maga köteles magáról állítani törvény alapján. Ha a panaszoson kívül állóknak az Alaptörvény IX. cikke által védett joga a panaszos tevékenységének minősítése, akkor a panaszosnak is joga ezt a címkét és annak </w:t>
      </w:r>
      <w:proofErr w:type="spellStart"/>
      <w:r>
        <w:rPr>
          <w:rFonts w:ascii="Times New Roman" w:eastAsia="Times New Roman" w:hAnsi="Times New Roman" w:cs="Times New Roman"/>
          <w:sz w:val="24"/>
          <w:szCs w:val="24"/>
        </w:rPr>
        <w:t>konnotációit</w:t>
      </w:r>
      <w:proofErr w:type="spellEnd"/>
      <w:r>
        <w:rPr>
          <w:rFonts w:ascii="Times New Roman" w:eastAsia="Times New Roman" w:hAnsi="Times New Roman" w:cs="Times New Roman"/>
          <w:sz w:val="24"/>
          <w:szCs w:val="24"/>
        </w:rPr>
        <w:t xml:space="preserve"> vitatni. A támadott törvény ezt a jogot vonja meg tőle.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Ezt a hátrányt nem legitimálja semmilyen jogkorlátozási cél, szükségtelen és aránytalan, nem felel meg az Alaptörvény I. cikk (3) bekezdésének. Az, hogy a Törvény 2. §</w:t>
      </w:r>
      <w:proofErr w:type="spellStart"/>
      <w:r>
        <w:rPr>
          <w:rFonts w:ascii="Times New Roman" w:eastAsia="Times New Roman" w:hAnsi="Times New Roman" w:cs="Times New Roman"/>
          <w:sz w:val="24"/>
          <w:szCs w:val="24"/>
        </w:rPr>
        <w:t>-ában</w:t>
      </w:r>
      <w:proofErr w:type="spellEnd"/>
      <w:r>
        <w:rPr>
          <w:rFonts w:ascii="Times New Roman" w:eastAsia="Times New Roman" w:hAnsi="Times New Roman" w:cs="Times New Roman"/>
          <w:sz w:val="24"/>
          <w:szCs w:val="24"/>
        </w:rPr>
        <w:t xml:space="preserve"> meghatározott különféle kötelezettségek, és különösen a 2. § (5) bekezdésben meghatározott feltüntetési és közzétételi kötelezettség, valamint az alapján, hogy a civil szervezetek nyilvános nyilvántartásaiban a szervezetet ilyenként tartják nyilván a </w:t>
      </w:r>
      <w:proofErr w:type="spellStart"/>
      <w:r>
        <w:rPr>
          <w:rFonts w:ascii="Times New Roman" w:eastAsia="Times New Roman" w:hAnsi="Times New Roman" w:cs="Times New Roman"/>
          <w:sz w:val="24"/>
          <w:szCs w:val="24"/>
        </w:rPr>
        <w:t>Cnytv</w:t>
      </w:r>
      <w:proofErr w:type="spellEnd"/>
      <w:r>
        <w:rPr>
          <w:rFonts w:ascii="Times New Roman" w:eastAsia="Times New Roman" w:hAnsi="Times New Roman" w:cs="Times New Roman"/>
          <w:sz w:val="24"/>
          <w:szCs w:val="24"/>
        </w:rPr>
        <w:t>. támadott rendelkezése szerint, a szervezetek “</w:t>
      </w:r>
      <w:proofErr w:type="spellStart"/>
      <w:r>
        <w:rPr>
          <w:rFonts w:ascii="Times New Roman" w:eastAsia="Times New Roman" w:hAnsi="Times New Roman" w:cs="Times New Roman"/>
          <w:sz w:val="24"/>
          <w:szCs w:val="24"/>
        </w:rPr>
        <w:t>külfödről</w:t>
      </w:r>
      <w:proofErr w:type="spellEnd"/>
      <w:r>
        <w:rPr>
          <w:rFonts w:ascii="Times New Roman" w:eastAsia="Times New Roman" w:hAnsi="Times New Roman" w:cs="Times New Roman"/>
          <w:sz w:val="24"/>
          <w:szCs w:val="24"/>
        </w:rPr>
        <w:t xml:space="preserve"> támogatott szervezetként” vehetnek részt a közéleti vitákban, véleménynyilvánítási szabadságukat korlátozza, de nem szolgálja sem az átláthatóság, sem a nemkívánatos külföldi befolyás, vagy a pénzmosás vagy terrorizmus-finanszírozás elleni állami fellépés célját. A 2. § (5) bekezdése szerinti feltüntetési, illetve közzétételi kötelezettség különösen súlyos korlátozás, arra is tekintettel, hogy a nyilvános bírósági </w:t>
      </w:r>
      <w:proofErr w:type="spellStart"/>
      <w:r>
        <w:rPr>
          <w:rFonts w:ascii="Times New Roman" w:eastAsia="Times New Roman" w:hAnsi="Times New Roman" w:cs="Times New Roman"/>
          <w:sz w:val="24"/>
          <w:szCs w:val="24"/>
        </w:rPr>
        <w:t>nyilvántarásokban</w:t>
      </w:r>
      <w:proofErr w:type="spellEnd"/>
      <w:r>
        <w:rPr>
          <w:rFonts w:ascii="Times New Roman" w:eastAsia="Times New Roman" w:hAnsi="Times New Roman" w:cs="Times New Roman"/>
          <w:sz w:val="24"/>
          <w:szCs w:val="24"/>
        </w:rPr>
        <w:t xml:space="preserve"> és az interneten is elérhetők azok a beszámolók, amelyek támogatott programonként tartalmazzák a támogatókat, a támogatásokat és a támogatásból megvalósított eredményeket. A számviteli törvény szerinti beszámolók és közhasznúsági mellékletek közzétételének rendszere megfelelő átláthatóságot biztosít, ehhez képest a “külföldről támogatott szervezet” megjelölés és a honlapokon valamint minden kiadványon való újra és újra való feltüntetés, legalábbis a transzparencia eléréséhez semmi érdemit nem ad hozzá. A Törvény arra sincs tekintettel, hogy az adott kiadványt milyen forrásból adja ki a szervezet, a “külföldről támogatott szervezet” megjelölést akkor is fel kell tüntetni rajta, ha egy adott kiadványt kizárólag hazai forrásból finanszírozták. Ennélfogva a minden kiadványon feltüntetés kötelezettsége nemhogy nem teszi </w:t>
      </w:r>
      <w:proofErr w:type="spellStart"/>
      <w:r>
        <w:rPr>
          <w:rFonts w:ascii="Times New Roman" w:eastAsia="Times New Roman" w:hAnsi="Times New Roman" w:cs="Times New Roman"/>
          <w:sz w:val="24"/>
          <w:szCs w:val="24"/>
        </w:rPr>
        <w:t>transzparensebbé</w:t>
      </w:r>
      <w:proofErr w:type="spellEnd"/>
      <w:r>
        <w:rPr>
          <w:rFonts w:ascii="Times New Roman" w:eastAsia="Times New Roman" w:hAnsi="Times New Roman" w:cs="Times New Roman"/>
          <w:sz w:val="24"/>
          <w:szCs w:val="24"/>
        </w:rPr>
        <w:t xml:space="preserve"> a szervezeteket, de még félrevezető is.  Nemcsak a nem külföldi forrásból finanszírozott kiadványok tekintetében vezet félre a megjelölés, hanem azt a téves látszatot kelti, mintha a külföldi </w:t>
      </w:r>
      <w:r>
        <w:rPr>
          <w:rFonts w:ascii="Times New Roman" w:eastAsia="Times New Roman" w:hAnsi="Times New Roman" w:cs="Times New Roman"/>
          <w:sz w:val="24"/>
          <w:szCs w:val="24"/>
        </w:rPr>
        <w:lastRenderedPageBreak/>
        <w:t xml:space="preserve">támogatás elfogadása magától értetődően gyanús tevékenység volna, ami szoros felügyeletet indokol.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III.3. Az egyesülési szabadság sérelmét megalapozó indokok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Törvény 2. § (1)-(3) bekezdéseiben valamint (5)-(6) bekezdéseiben foglalt rendelkezések - különös tekintettel a Törvény 3. §</w:t>
      </w:r>
      <w:proofErr w:type="spellStart"/>
      <w:r>
        <w:rPr>
          <w:rFonts w:ascii="Times New Roman" w:eastAsia="Times New Roman" w:hAnsi="Times New Roman" w:cs="Times New Roman"/>
          <w:sz w:val="24"/>
          <w:szCs w:val="24"/>
        </w:rPr>
        <w:t>-ában</w:t>
      </w:r>
      <w:proofErr w:type="spellEnd"/>
      <w:r>
        <w:rPr>
          <w:rFonts w:ascii="Times New Roman" w:eastAsia="Times New Roman" w:hAnsi="Times New Roman" w:cs="Times New Roman"/>
          <w:sz w:val="24"/>
          <w:szCs w:val="24"/>
        </w:rPr>
        <w:t xml:space="preserve"> foglalt szankciókra – az indítványozónak az Alaptörvény VIII. cikk (2) bekezdésében biztosított jogait sérti, azzal ellentétes.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Alaptörvény VIII. cikk (2) bekezdése szerint mindenkinek joga van szervezeteket létrehozni, és joga van szervezetekhez csatlakozni. Bár az Alaptörvény nevesítve csak a szervezetek létrehozását és az azokhoz való csatlakozást nevesíti, e jog tartalma szélesebb: magában foglalja azt is, hogy a szervezetek törvényes céljaik elérése érdekében szabadon működhetnek, valamint az e működés eléréséhez szükséges forrásokat fogadhatnak el. Ezt az értelmezést támasztják alá az Alaptörvény értelmezésénél figyelembe veendő nemzetközi jogi dokumentumok is. Az Emberi Jogok Európai Bírósága szerint az EJEE 11. cikkébe ütközik az olyan hatósági intézkedés, amely kihat a civil szervezetek pénzügyi lehetőségeire a tevékenységük végzését illetően. (lásd: </w:t>
      </w:r>
      <w:proofErr w:type="spellStart"/>
      <w:r>
        <w:rPr>
          <w:rFonts w:ascii="Times New Roman" w:eastAsia="Times New Roman" w:hAnsi="Times New Roman" w:cs="Times New Roman"/>
          <w:sz w:val="24"/>
          <w:szCs w:val="24"/>
        </w:rPr>
        <w:t>Ramazanova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Others</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Azerbaijan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ECtHR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Judgment</w:t>
      </w:r>
      <w:proofErr w:type="spellEnd"/>
      <w:r>
        <w:rPr>
          <w:rFonts w:ascii="Times New Roman" w:eastAsia="Times New Roman" w:hAnsi="Times New Roman" w:cs="Times New Roman"/>
          <w:sz w:val="24"/>
          <w:szCs w:val="24"/>
        </w:rPr>
        <w:t xml:space="preserve"> of 1 </w:t>
      </w:r>
      <w:proofErr w:type="spellStart"/>
      <w:r>
        <w:rPr>
          <w:rFonts w:ascii="Times New Roman" w:eastAsia="Times New Roman" w:hAnsi="Times New Roman" w:cs="Times New Roman"/>
          <w:sz w:val="24"/>
          <w:szCs w:val="24"/>
        </w:rPr>
        <w:t>February</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paras</w:t>
      </w:r>
      <w:proofErr w:type="spellEnd"/>
      <w:r>
        <w:rPr>
          <w:rFonts w:ascii="Times New Roman" w:eastAsia="Times New Roman" w:hAnsi="Times New Roman" w:cs="Times New Roman"/>
          <w:sz w:val="24"/>
          <w:szCs w:val="24"/>
        </w:rPr>
        <w:t xml:space="preserve">. 59-60; Parti </w:t>
      </w:r>
      <w:proofErr w:type="spellStart"/>
      <w:r>
        <w:rPr>
          <w:rFonts w:ascii="Times New Roman" w:eastAsia="Times New Roman" w:hAnsi="Times New Roman" w:cs="Times New Roman"/>
          <w:sz w:val="24"/>
          <w:szCs w:val="24"/>
        </w:rPr>
        <w:t>nationaliste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basque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régionale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d’Iparralde</w:t>
      </w:r>
      <w:proofErr w:type="spellEnd"/>
      <w:r>
        <w:rPr>
          <w:rFonts w:ascii="Times New Roman" w:eastAsia="Times New Roman" w:hAnsi="Times New Roman" w:cs="Times New Roman"/>
          <w:sz w:val="24"/>
          <w:szCs w:val="24"/>
        </w:rPr>
        <w:t xml:space="preserve"> v. France, </w:t>
      </w:r>
      <w:proofErr w:type="spellStart"/>
      <w:r>
        <w:rPr>
          <w:rFonts w:ascii="Times New Roman" w:eastAsia="Times New Roman" w:hAnsi="Times New Roman" w:cs="Times New Roman"/>
          <w:sz w:val="24"/>
          <w:szCs w:val="24"/>
        </w:rPr>
        <w:t>ECtHR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Judgment</w:t>
      </w:r>
      <w:proofErr w:type="spellEnd"/>
      <w:r>
        <w:rPr>
          <w:rFonts w:ascii="Times New Roman" w:eastAsia="Times New Roman" w:hAnsi="Times New Roman" w:cs="Times New Roman"/>
          <w:sz w:val="24"/>
          <w:szCs w:val="24"/>
        </w:rPr>
        <w:t xml:space="preserve"> of 7 </w:t>
      </w:r>
      <w:proofErr w:type="spellStart"/>
      <w:r>
        <w:rPr>
          <w:rFonts w:ascii="Times New Roman" w:eastAsia="Times New Roman" w:hAnsi="Times New Roman" w:cs="Times New Roman"/>
          <w:sz w:val="24"/>
          <w:szCs w:val="24"/>
        </w:rPr>
        <w:t>June</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paras</w:t>
      </w:r>
      <w:proofErr w:type="spellEnd"/>
      <w:r>
        <w:rPr>
          <w:rFonts w:ascii="Times New Roman" w:eastAsia="Times New Roman" w:hAnsi="Times New Roman" w:cs="Times New Roman"/>
          <w:sz w:val="24"/>
          <w:szCs w:val="24"/>
        </w:rPr>
        <w:t>. 37-38).</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Az ENSZ békés gyülekezéshez és egyesüléshez való jog különmegbízottja is megerősítette, hogy a békés egyesüléshez és gyülekezéshez való jog nem pusztán a civil szervezetek létrehozását és az azokhoz való csatlakozás lehetőségét biztosítja az egyének és szervezetek számára, hanem a helyi, nemzeti és nemzetközi forrásokból való javak (humán, anyagi és pénzügyi) keresését, azokhoz való hozzájutást és azok felhasználását is magában foglalja. (UN Human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Rapporteur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freedom</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peaceful</w:t>
      </w:r>
      <w:proofErr w:type="spellEnd"/>
      <w:r>
        <w:rPr>
          <w:rFonts w:ascii="Times New Roman" w:eastAsia="Times New Roman" w:hAnsi="Times New Roman" w:cs="Times New Roman"/>
          <w:sz w:val="24"/>
          <w:szCs w:val="24"/>
        </w:rPr>
        <w:t xml:space="preserve"> assembly and of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Kiai</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xml:space="preserve">. A/HRC/23/39, 24 </w:t>
      </w:r>
      <w:proofErr w:type="spellStart"/>
      <w:r>
        <w:rPr>
          <w:rFonts w:ascii="Times New Roman" w:eastAsia="Times New Roman" w:hAnsi="Times New Roman" w:cs="Times New Roman"/>
          <w:sz w:val="24"/>
          <w:szCs w:val="24"/>
        </w:rPr>
        <w:t>April</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8.) A Európa Tanács Miniszterek Bizottságának CM/</w:t>
      </w:r>
      <w:proofErr w:type="spellStart"/>
      <w:r>
        <w:rPr>
          <w:rFonts w:ascii="Times New Roman" w:eastAsia="Times New Roman" w:hAnsi="Times New Roman" w:cs="Times New Roman"/>
          <w:sz w:val="24"/>
          <w:szCs w:val="24"/>
        </w:rPr>
        <w:t>Rec</w:t>
      </w:r>
      <w:proofErr w:type="spellEnd"/>
      <w:r>
        <w:rPr>
          <w:rFonts w:ascii="Times New Roman" w:eastAsia="Times New Roman" w:hAnsi="Times New Roman" w:cs="Times New Roman"/>
          <w:sz w:val="24"/>
          <w:szCs w:val="24"/>
        </w:rPr>
        <w:t xml:space="preserve"> 14 (2007) ajánlása („Ajánlás”) szerint a civil szervezetek számára biztosítani kell, hogy szabadon tárhassanak fel forrásokat és elfogadják azokat – akár pénzbeli, akár nem pénzbeli formában –, nemcsak a saját országuk  állami/kormányzati szerveitől, hanem egyéni és intézményi adományozóktól, más államok szerveitől vagy nemzetközi szervezetektől, és e tevékenységek során kizárólag az általános vám, pénzmosás elleni és a politikai pártok és választások finanszírozására vonatkozó szabályoknak kell megfelelniük. A Demokratikus Intézmények és Emberi Jogok Hivatala (OSCE-ODIHR), valamint a Velencei Bizottság által az egyesülési szabadság tárgyában kiadott iránymutatás (2014) (a továbbiakban: Iránymutatás) pedig azt tartalmazza, hogy a civil szervezeteknek a helyi, nemzeti és nemzetközi forrásokból való javak (humán, anyagi és pénzügyi) keresését, azokhoz való hozzájutást és azok felhasználását is biztosítani szükséges. Hasonló kijelentést tett többek között az ENSZ Közgyűlése (UN General Assembly, </w:t>
      </w:r>
      <w:proofErr w:type="spellStart"/>
      <w:r>
        <w:rPr>
          <w:rFonts w:ascii="Times New Roman" w:eastAsia="Times New Roman" w:hAnsi="Times New Roman" w:cs="Times New Roman"/>
          <w:sz w:val="24"/>
          <w:szCs w:val="24"/>
        </w:rPr>
        <w:t>Declaration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Right and </w:t>
      </w:r>
      <w:proofErr w:type="spellStart"/>
      <w:r>
        <w:rPr>
          <w:rFonts w:ascii="Times New Roman" w:eastAsia="Times New Roman" w:hAnsi="Times New Roman" w:cs="Times New Roman"/>
          <w:sz w:val="24"/>
          <w:szCs w:val="24"/>
        </w:rPr>
        <w:t>Responsibility</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Individuals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Organs</w:t>
      </w:r>
      <w:proofErr w:type="spellEnd"/>
      <w:r>
        <w:rPr>
          <w:rFonts w:ascii="Times New Roman" w:eastAsia="Times New Roman" w:hAnsi="Times New Roman" w:cs="Times New Roman"/>
          <w:sz w:val="24"/>
          <w:szCs w:val="24"/>
        </w:rPr>
        <w:t xml:space="preserve"> of Society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Promote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Protect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Recognized</w:t>
      </w:r>
      <w:proofErr w:type="spellEnd"/>
      <w:r>
        <w:rPr>
          <w:rFonts w:ascii="Times New Roman" w:eastAsia="Times New Roman" w:hAnsi="Times New Roman" w:cs="Times New Roman"/>
          <w:sz w:val="24"/>
          <w:szCs w:val="24"/>
        </w:rPr>
        <w:t xml:space="preserve"> Human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Fundamental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Freedoms</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xml:space="preserve">. A/RES/53/144, 8 </w:t>
      </w:r>
      <w:proofErr w:type="spellStart"/>
      <w:r>
        <w:rPr>
          <w:rFonts w:ascii="Times New Roman" w:eastAsia="Times New Roman" w:hAnsi="Times New Roman" w:cs="Times New Roman"/>
          <w:sz w:val="24"/>
          <w:szCs w:val="24"/>
        </w:rPr>
        <w:t>March</w:t>
      </w:r>
      <w:proofErr w:type="spellEnd"/>
      <w:r>
        <w:rPr>
          <w:rFonts w:ascii="Times New Roman" w:eastAsia="Times New Roman" w:hAnsi="Times New Roman" w:cs="Times New Roman"/>
          <w:sz w:val="24"/>
          <w:szCs w:val="24"/>
        </w:rPr>
        <w:t xml:space="preserve"> 1999, </w:t>
      </w:r>
      <w:proofErr w:type="spellStart"/>
      <w:r>
        <w:rPr>
          <w:rFonts w:ascii="Times New Roman" w:eastAsia="Times New Roman" w:hAnsi="Times New Roman" w:cs="Times New Roman"/>
          <w:sz w:val="24"/>
          <w:szCs w:val="24"/>
        </w:rPr>
        <w:t>Annex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xml:space="preserve"> 13.), az ENSZ Emberi Jogi Bizottsága (UN Human </w:t>
      </w:r>
      <w:proofErr w:type="spellStart"/>
      <w:r>
        <w:rPr>
          <w:rFonts w:ascii="Times New Roman" w:eastAsia="Times New Roman" w:hAnsi="Times New Roman" w:cs="Times New Roman"/>
          <w:sz w:val="24"/>
          <w:szCs w:val="24"/>
        </w:rPr>
        <w:t>Rights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Resolution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Civil Society </w:t>
      </w:r>
      <w:proofErr w:type="spellStart"/>
      <w:r>
        <w:rPr>
          <w:rFonts w:ascii="Times New Roman" w:eastAsia="Times New Roman" w:hAnsi="Times New Roman" w:cs="Times New Roman"/>
          <w:sz w:val="24"/>
          <w:szCs w:val="24"/>
        </w:rPr>
        <w:t>Space</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A/HRC/32/L.29, 27 </w:t>
      </w:r>
      <w:proofErr w:type="spellStart"/>
      <w:r>
        <w:rPr>
          <w:rFonts w:ascii="Times New Roman" w:eastAsia="Times New Roman" w:hAnsi="Times New Roman" w:cs="Times New Roman"/>
          <w:sz w:val="24"/>
          <w:szCs w:val="24"/>
        </w:rPr>
        <w:t>June</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8.) és az Európa Tanács Miniszteri Bizottsága (</w:t>
      </w:r>
      <w:proofErr w:type="spellStart"/>
      <w:r>
        <w:rPr>
          <w:rFonts w:ascii="Times New Roman" w:eastAsia="Times New Roman" w:hAnsi="Times New Roman" w:cs="Times New Roman"/>
          <w:sz w:val="24"/>
          <w:szCs w:val="24"/>
        </w:rPr>
        <w:t>Committee</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Ministers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Legal</w:t>
      </w:r>
      <w:proofErr w:type="spellEnd"/>
      <w:r>
        <w:rPr>
          <w:rFonts w:ascii="Times New Roman" w:eastAsia="Times New Roman" w:hAnsi="Times New Roman" w:cs="Times New Roman"/>
          <w:sz w:val="24"/>
          <w:szCs w:val="24"/>
        </w:rPr>
        <w:t xml:space="preserve"> status of </w:t>
      </w:r>
      <w:proofErr w:type="spellStart"/>
      <w:r>
        <w:rPr>
          <w:rFonts w:ascii="Times New Roman" w:eastAsia="Times New Roman" w:hAnsi="Times New Roman" w:cs="Times New Roman"/>
          <w:sz w:val="24"/>
          <w:szCs w:val="24"/>
        </w:rPr>
        <w:t>non-governmental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Europe, </w:t>
      </w:r>
      <w:proofErr w:type="spellStart"/>
      <w:r>
        <w:rPr>
          <w:rFonts w:ascii="Times New Roman" w:eastAsia="Times New Roman" w:hAnsi="Times New Roman" w:cs="Times New Roman"/>
          <w:sz w:val="24"/>
          <w:szCs w:val="24"/>
        </w:rPr>
        <w:t>Recommendation</w:t>
      </w:r>
      <w:proofErr w:type="spellEnd"/>
      <w:r>
        <w:rPr>
          <w:rFonts w:ascii="Times New Roman" w:eastAsia="Times New Roman" w:hAnsi="Times New Roman" w:cs="Times New Roman"/>
          <w:sz w:val="24"/>
          <w:szCs w:val="24"/>
        </w:rPr>
        <w:t xml:space="preserve"> CM/</w:t>
      </w:r>
      <w:proofErr w:type="spellStart"/>
      <w:r>
        <w:rPr>
          <w:rFonts w:ascii="Times New Roman" w:eastAsia="Times New Roman" w:hAnsi="Times New Roman" w:cs="Times New Roman"/>
          <w:sz w:val="24"/>
          <w:szCs w:val="24"/>
        </w:rPr>
        <w:t>Rec</w:t>
      </w:r>
      <w:proofErr w:type="spellEnd"/>
      <w:r>
        <w:rPr>
          <w:rFonts w:ascii="Times New Roman" w:eastAsia="Times New Roman" w:hAnsi="Times New Roman" w:cs="Times New Roman"/>
          <w:sz w:val="24"/>
          <w:szCs w:val="24"/>
        </w:rPr>
        <w:t xml:space="preserve">(2007)14, 10 </w:t>
      </w:r>
      <w:proofErr w:type="spellStart"/>
      <w:r>
        <w:rPr>
          <w:rFonts w:ascii="Times New Roman" w:eastAsia="Times New Roman" w:hAnsi="Times New Roman" w:cs="Times New Roman"/>
          <w:sz w:val="24"/>
          <w:szCs w:val="24"/>
        </w:rPr>
        <w:t>October</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50.)</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egyesülési jog nem abszolút jog, azonban ennek a jognak bármifajta korlátozása csak az Alaptörvény I. cikk (3) bekezdésével összhangban történhet: Alapvető jog más alapvető jog érvényesülése vagy valamely alkotmányos érték védelme érdekében, a feltétlenül szükséges mértékben, az elérni kívánt céllal arányosan, az alapvető jog lényeges tartalmának tiszteletben tartásával korlátozható.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támadott Törvény az egyesülési szabadságot azáltal korlátozza, hogy a külföldről érkező támogatásokat ugyan nem tiltja meg, azonban regisztrációra és a támogatásokról tételes beszámolásra kötelezi a szervezetet, így a működést elnehezíti, és az egyesülési jog gyakorlásának feltételéül szabott kötelezettségek </w:t>
      </w:r>
      <w:proofErr w:type="spellStart"/>
      <w:r>
        <w:rPr>
          <w:rFonts w:ascii="Times New Roman" w:eastAsia="Times New Roman" w:hAnsi="Times New Roman" w:cs="Times New Roman"/>
          <w:sz w:val="24"/>
          <w:szCs w:val="24"/>
        </w:rPr>
        <w:t>nemteljesítése</w:t>
      </w:r>
      <w:proofErr w:type="spellEnd"/>
      <w:r>
        <w:rPr>
          <w:rFonts w:ascii="Times New Roman" w:eastAsia="Times New Roman" w:hAnsi="Times New Roman" w:cs="Times New Roman"/>
          <w:sz w:val="24"/>
          <w:szCs w:val="24"/>
        </w:rPr>
        <w:t xml:space="preserve"> esetére szankciókat helyez kilátásba. A szervezetet választás elé állítja: vagy elfogadja a működéséhez és céljai megvalósításához szükséges külföldi támogatást, magára vállalva ezzel a törvény által előírt kötelezettségeket, vagy azt veszélyezteti, hogy nem jut a működéséhez, illetve céljai megvalósításához elengedhetetlen pénzügyi forrásokhoz. </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korlátozás szükségessége hiányzik</w:t>
      </w:r>
    </w:p>
    <w:p w:rsidR="00655F9F" w:rsidRDefault="00495E57">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korlátozás szükségességének magyarázataként a Törvény indokolása a pénzmosás és a terrorizmus finanszírozásával összefüggő ellenőrzést, valamint a külföldi érdekcsoportok befolyásának megakadályozását tünteti fel. Amint azt fentebb már kifejtettük, a hatályos szabályozási környezetben a támadott korlátozások szükségtelenek. A támogatások forrása semmiféle értékelhető kapcsolatban nincs a felsorolt célokkal. Az indítványozó szerint kifejezetten abszurd volna azt állítani, hogy például az Európai Unió költségvetéséből nyilvános pályázati úton elnyert források nemzetbiztonsági veszélyt jelentenének, vagy az állami működés illegitim befolyásolására szolgálnának. A címke általánossága miatt (minden külföld, ami nem hazai) egy kategóriába kerül a potenciálisan orosz maffiától származó támogatás az Európai Unió vagy éppen egy európai ország nagykövetségének támogatásával. Az indítványozó szerint nincs olyan alkotmányos megfontolás, amely ezt a szabályozási koncepciót szükségessé, és ezáltal legitimmé tenné.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ha el is fogadnánk a fenti célokat a korlátozás legitim céljának, a korlátozás akkor sem felel meg a szükségesség, az alkalmasság és az arányosság követelményének.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szervezetek működésének nyilvánossága és ellenőrzése jelenleg is kellőképpen biztosított, ezért a szabályozás szükségtelen.</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civil társadalmi szervezetek a jelenleg hatályos rendszerben is számos adatszolgáltatási kötelezettségeknek vannak alávetve a az egyesülési jogról, a közhasznú jogállásról, valamint a civil szervezetek működéséről és támogatásáról szóló 2011. évi CLXXV. törvény (a </w:t>
      </w:r>
      <w:r>
        <w:rPr>
          <w:rFonts w:ascii="Times New Roman" w:eastAsia="Times New Roman" w:hAnsi="Times New Roman" w:cs="Times New Roman"/>
          <w:sz w:val="24"/>
          <w:szCs w:val="24"/>
          <w:highlight w:val="white"/>
        </w:rPr>
        <w:lastRenderedPageBreak/>
        <w:t>továbbiakban: „</w:t>
      </w:r>
      <w:proofErr w:type="spellStart"/>
      <w:r>
        <w:rPr>
          <w:rFonts w:ascii="Times New Roman" w:eastAsia="Times New Roman" w:hAnsi="Times New Roman" w:cs="Times New Roman"/>
          <w:sz w:val="24"/>
          <w:szCs w:val="24"/>
          <w:highlight w:val="white"/>
        </w:rPr>
        <w:t>Ectv</w:t>
      </w:r>
      <w:proofErr w:type="spellEnd"/>
      <w:r>
        <w:rPr>
          <w:rFonts w:ascii="Times New Roman" w:eastAsia="Times New Roman" w:hAnsi="Times New Roman" w:cs="Times New Roman"/>
          <w:sz w:val="24"/>
          <w:szCs w:val="24"/>
          <w:highlight w:val="white"/>
        </w:rPr>
        <w:t>.”), valamint a civil szervezetek gazdálkodása, az adománygyűjtés és a közhasznúság egyes kérdéseiről szóló 350/2011 (XII. 30.) Korm. rendelet alapján (a továbbiakban: “Kormányrendelet”).</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Az egyesületek, alapítványok valamennyi regisztrált adata nyilvánosan elérhető a civil szervezetek jegyzékében online és a bíróságokon. Ezek az adatok tartalmazzák a nyilvántartási számot, a nyilvántartásba vétel napját, az alapszabályok elfogadásának napját, a nevet, a bejegyzett címet, a képviselők nevét és címét, a szervezetek típusát.</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Emellett a Kormányrendelet 12. § (2) bekezdése szerint az illetékes miniszter közzéteszi az éves beszámoló részét képező közhasznúsági melléklet benyújtásának formáját. A standard elektronikus minta előírja, hogy a civil szervezetek megnevezzék az egyes adományokat, támogatásokat, és azt, hogy ezen támogatások „nemzetközi” jellegűek-e.</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nyomtatványon a kettős könyvelést vezető a civil szervezetek kötelesek részletes információkat adni az adott évi tevékenységükről, a bevételeikről és a kiadásaikról, valamint a bevételeik forrásairól. A közhasznú jogállású szervezet </w:t>
      </w:r>
      <w:commentRangeStart w:id="8"/>
      <w:r>
        <w:rPr>
          <w:rFonts w:ascii="Times New Roman" w:eastAsia="Times New Roman" w:hAnsi="Times New Roman" w:cs="Times New Roman"/>
          <w:sz w:val="24"/>
          <w:szCs w:val="24"/>
          <w:highlight w:val="white"/>
        </w:rPr>
        <w:t>- az indítványozó ilyen -</w:t>
      </w:r>
      <w:commentRangeEnd w:id="8"/>
      <w:r>
        <w:commentReference w:id="8"/>
      </w:r>
      <w:r>
        <w:rPr>
          <w:rFonts w:ascii="Times New Roman" w:eastAsia="Times New Roman" w:hAnsi="Times New Roman" w:cs="Times New Roman"/>
          <w:sz w:val="24"/>
          <w:szCs w:val="24"/>
          <w:highlight w:val="white"/>
        </w:rPr>
        <w:t xml:space="preserve"> az </w:t>
      </w:r>
      <w:proofErr w:type="spellStart"/>
      <w:r>
        <w:rPr>
          <w:rFonts w:ascii="Times New Roman" w:eastAsia="Times New Roman" w:hAnsi="Times New Roman" w:cs="Times New Roman"/>
          <w:sz w:val="24"/>
          <w:szCs w:val="24"/>
          <w:highlight w:val="white"/>
        </w:rPr>
        <w:t>Ectv</w:t>
      </w:r>
      <w:proofErr w:type="spellEnd"/>
      <w:r>
        <w:rPr>
          <w:rFonts w:ascii="Times New Roman" w:eastAsia="Times New Roman" w:hAnsi="Times New Roman" w:cs="Times New Roman"/>
          <w:sz w:val="24"/>
          <w:szCs w:val="24"/>
          <w:highlight w:val="white"/>
        </w:rPr>
        <w:t>. 27. § (2) bekezdése alapján kizárólag kettős könyvvitelt vezethet. Ebben a szabályozási környezetben fel kell tüntetnie forrás szerinti bontásban a bevételeket, ismertetve a központi és helyi önkormányzati költségvetésből, nemzetközi forrásokból és egyéb támogatóktól származó támogatásokat. A jelenlegi jogszabály által előírt módon benyújtandó éves beszámolók a vonatkozó honlapon (www.birosag.hu) jelenleg is közzétételre kerülnek, azok bárki számára ingyenesen elérhetőek.</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civil szervezetek emellett jelenleg a Törvény nélkül is kötelesek a saját honlapjukon az éves pénzügyi beszámolójukat közzétenni. Ez a kötelezettség az átláthatóságot, a tevékenységük megismerhetőségét már megfelelően biztosítja.</w:t>
      </w:r>
    </w:p>
    <w:p w:rsidR="00655F9F" w:rsidRDefault="00495E57">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Ezen szabályozási környezetben a külföldről támogatott jelző bevezetése a transzparencia növelésére alkalmatlan, hiszen kevesebb információt közvetít, mint amennyit a támadott szabályozástól függetlenül az érintett szervezetek már kötelesek a működésükről nyilvánosságra hozni.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Ami az állami kontrollt illeti, a kormányzat nemzetbiztonságot védeni célzó törekvései egyértelműen elérhetőek a jelenleg hatályos jogszabályok által, ez a nemzetbiztonsági szolgálatok dolga, amelyek működését bizonyosan nem a törvény által megkövetelt kategória bevezetése fogja segíteni.</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az állami szervek már most is széles körű hozzáféréssel rendelkeznek a nem kormányzati szervezetek pénzügyi, működési adataihoz. A bíróság az ügyészség kezdeményezése alapján törvényességi felügyeleti eljárást folytathat le a civil szervezetek tekintetében. Az Állami Számvevőszéknek a költségvetési támogatások felhasználásával kapcsolatban van ellenőrzési, vizsgálati hatásköre.  A banki tranzakciókra rálátása van a Magyar Nemzeti </w:t>
      </w:r>
      <w:r>
        <w:rPr>
          <w:rFonts w:ascii="Times New Roman" w:eastAsia="Times New Roman" w:hAnsi="Times New Roman" w:cs="Times New Roman"/>
          <w:sz w:val="24"/>
          <w:szCs w:val="24"/>
        </w:rPr>
        <w:lastRenderedPageBreak/>
        <w:t xml:space="preserve">Banknak, az Európai Uniótól kapott források kapcsán az Európai Számvevőszék folytathat le ellenőrzést. Bűncselekmény gyanúja esetén a magyar büntető igazságszolgáltatás teljes tárháza az állam rendelkezésére áll.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Mindezek fényében az a tény, hogy a szükségtelen törvényi kötelezettségek </w:t>
      </w:r>
      <w:proofErr w:type="spellStart"/>
      <w:r>
        <w:rPr>
          <w:rFonts w:ascii="Times New Roman" w:eastAsia="Times New Roman" w:hAnsi="Times New Roman" w:cs="Times New Roman"/>
          <w:sz w:val="24"/>
          <w:szCs w:val="24"/>
        </w:rPr>
        <w:t>nemteljesítése</w:t>
      </w:r>
      <w:proofErr w:type="spellEnd"/>
      <w:r>
        <w:rPr>
          <w:rFonts w:ascii="Times New Roman" w:eastAsia="Times New Roman" w:hAnsi="Times New Roman" w:cs="Times New Roman"/>
          <w:sz w:val="24"/>
          <w:szCs w:val="24"/>
        </w:rPr>
        <w:t xml:space="preserve"> esetére a bármennyiszer kiszabható bírságot és végső soron az egyesülési jog felszámolását eredményező bírósági megszüntetést is kilátásba helyezi a Törvény, kétségtelenül aránytalan alapjog-korlátozásnak minősül. Akár a szervezet működését ellehetetlenítő mértékű bírságolást vagy akár a szervezet megszüntetését is lehetővé tevő szankciórendszerrel fenyegeti a Törvény egyébként szükségtelen és aránytalan korlátozásokat jelentő kötelezettségek </w:t>
      </w:r>
      <w:proofErr w:type="spellStart"/>
      <w:r>
        <w:rPr>
          <w:rFonts w:ascii="Times New Roman" w:eastAsia="Times New Roman" w:hAnsi="Times New Roman" w:cs="Times New Roman"/>
          <w:sz w:val="24"/>
          <w:szCs w:val="24"/>
        </w:rPr>
        <w:t>nemteljesítését</w:t>
      </w:r>
      <w:proofErr w:type="spellEnd"/>
      <w:r>
        <w:rPr>
          <w:rFonts w:ascii="Times New Roman" w:eastAsia="Times New Roman" w:hAnsi="Times New Roman" w:cs="Times New Roman"/>
          <w:sz w:val="24"/>
          <w:szCs w:val="24"/>
        </w:rPr>
        <w:t xml:space="preserve">. Ez a fenyegetés pedig - akkor is, ha a bíróságnak az arányosság </w:t>
      </w:r>
      <w:proofErr w:type="spellStart"/>
      <w:r>
        <w:rPr>
          <w:rFonts w:ascii="Times New Roman" w:eastAsia="Times New Roman" w:hAnsi="Times New Roman" w:cs="Times New Roman"/>
          <w:sz w:val="24"/>
          <w:szCs w:val="24"/>
        </w:rPr>
        <w:t>követeményének</w:t>
      </w:r>
      <w:proofErr w:type="spellEnd"/>
      <w:r>
        <w:rPr>
          <w:rFonts w:ascii="Times New Roman" w:eastAsia="Times New Roman" w:hAnsi="Times New Roman" w:cs="Times New Roman"/>
          <w:sz w:val="24"/>
          <w:szCs w:val="24"/>
        </w:rPr>
        <w:t xml:space="preserve"> figyelembe vételével kell eljárnia, hiszen mindig így kell eljárnia - az egyesülési szabadság aránytalan korlátozását valósítja meg.</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III.4. A hátrányos megkülönböztetés tilalmának megsértését megalapozó indokok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Mivel az </w:t>
      </w:r>
      <w:proofErr w:type="spellStart"/>
      <w:r>
        <w:rPr>
          <w:rFonts w:ascii="Times New Roman" w:eastAsia="Times New Roman" w:hAnsi="Times New Roman" w:cs="Times New Roman"/>
          <w:sz w:val="24"/>
          <w:szCs w:val="24"/>
        </w:rPr>
        <w:t>inditványozó</w:t>
      </w:r>
      <w:proofErr w:type="spellEnd"/>
      <w:r>
        <w:rPr>
          <w:rFonts w:ascii="Times New Roman" w:eastAsia="Times New Roman" w:hAnsi="Times New Roman" w:cs="Times New Roman"/>
          <w:sz w:val="24"/>
          <w:szCs w:val="24"/>
        </w:rPr>
        <w:t xml:space="preserve"> álláspontja szerint az alább részletesen kifejtett indokolásra tekintettel a Törvény teljes szabályozási koncepciója diszkriminatív, a Törvény egésze ellentétes az Alaptörvény XV. cikk (2) bekezdésével. Abban az esetben, ha az Alkotmánybíróság a teljes szabályozási koncepciót nem találná alaptörvény-ellenesnek, panaszos indítványozza a Törvény 1. § (3) és (4) </w:t>
      </w:r>
      <w:proofErr w:type="spellStart"/>
      <w:r>
        <w:rPr>
          <w:rFonts w:ascii="Times New Roman" w:eastAsia="Times New Roman" w:hAnsi="Times New Roman" w:cs="Times New Roman"/>
          <w:sz w:val="24"/>
          <w:szCs w:val="24"/>
        </w:rPr>
        <w:t>bekezdésésekben</w:t>
      </w:r>
      <w:proofErr w:type="spellEnd"/>
      <w:r>
        <w:rPr>
          <w:rFonts w:ascii="Times New Roman" w:eastAsia="Times New Roman" w:hAnsi="Times New Roman" w:cs="Times New Roman"/>
          <w:sz w:val="24"/>
          <w:szCs w:val="24"/>
        </w:rPr>
        <w:t xml:space="preserve"> foglalt kivételek megsemmisítését az Alaptörvény XV. cikk (2) bekezdésébe ütközés miatt.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Alaptörvény XV. cikkének (2) bekezdése szerint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„külföldi támogatásban” részesülő civil szervezetek homogén csoportján belül a Törvény megkülönböztetést valósít meg, mivel a Törvény 1. § (3) bekezdése szerinti támogatásban részesülő szervezeteket, illetve a Törvény 1. § (4) bekezdése szerinti szervezeteket nem terhelik a Törvény által előírt kötelezettségek. Ez a többletkötelezettség az azzal terhelt civil szervezetek számára más, összehasonlítható helyzetben levő civil szervezetekhez képest kedvezőtlenebb bánásmódot, így hátrányt jelent.</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fent kifejtettek szerint ez a megkülönböztetés alapjogok (a </w:t>
      </w:r>
      <w:proofErr w:type="spellStart"/>
      <w:r>
        <w:rPr>
          <w:rFonts w:ascii="Times New Roman" w:eastAsia="Times New Roman" w:hAnsi="Times New Roman" w:cs="Times New Roman"/>
          <w:sz w:val="24"/>
          <w:szCs w:val="24"/>
        </w:rPr>
        <w:t>jóhírnévhez</w:t>
      </w:r>
      <w:proofErr w:type="spellEnd"/>
      <w:r>
        <w:rPr>
          <w:rFonts w:ascii="Times New Roman" w:eastAsia="Times New Roman" w:hAnsi="Times New Roman" w:cs="Times New Roman"/>
          <w:sz w:val="24"/>
          <w:szCs w:val="24"/>
        </w:rPr>
        <w:t xml:space="preserve"> való jog, magánszférához való jog, szólásszabadság, egyesülési jog) tekintetében valósul meg, aminek alaptörvényszerűsége az Alaptörvény XV. cikk (1)-(2) bekezdése alapján a szükségesség-arányosság tesztje szerint ítélendő meg {14/2014. (V. 13.) AB határozat Indokolás [32]}. Még abban az esetben is azonban, ha az Alkotmánybíróság úgy ítélné meg, hogy a támadott rendelkezések alapjogokkal nem hozhatóak összefüggésbe, a megkülönböztetés az ésszerűségi teszt szerint alaptörvény-ellenességre vezethet.</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III.4.1. Az átláthatóság mint alkotmányos cél elérése szempontjából még ésszerű indoka sincs annak, hogy az Európai Uniótól származó forrásokban való részesülés nem alapozza meg a „külföldről támogatott” jogállást, ha a támogatást költségvetési szerveken keresztül kapják. Az átláthatóság semmilyen alkotmányjogi összefüggésbe nem hozható azzal, hogy egy támogatás milyen szerven keresztül történik, hiszen az átláthatóság célja a civil szervezet bevételeinek bárki által való megismerhetősége. Ezért  azzal, hogy a Törvény 1. § (3) bekezdése egyes támogatásban részesülő civil szervezeteket mentesít a „külföldről támogatott” jogállás bejelentésének és nyilvántartásban való rögzítésének kötelezettsége alól, a jogalkotó az Alaptörvény XV. cikk (1) és (2) bekezdésének megsértésén keresztül alaptörvény-ellenes megkülönböztetést alkalmazott az ilyen kötelezettséggel terhelt civil szervezetek vonatkozásában.</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III.4.2. A Törvény 1. § (4) bekezdésének a) pontja alapján a párt, a szakszervezet, a kölcsönös biztosító egyesület, a közalapítvány és a pártalapítvány nem minősülhet „külföldről támogatott” civil szervezetnek. Ezek a kivételek egyik alkotmányos cél (átláthatóság, illetve az ország politikai, gazdasági érdekeit és a törvényes intézmények befolyásmentes működését sértő törekvések elhárítása) szempontjából, illetve más alapjog érvényesülése érdekében sem igazolhatóak.</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 az átláthatóság, mind pedig az ország politikai, gazdasági érdekeit és a törvényes intézmények befolyásmentes működését sértő törekvések elhárítása alkalmazhatóak ezekre a jogi személyekre is, sőt, az átlátható gazdálkodáshoz pártok és pártalapítványok esetében a Törvény hatálya alá tartozó civil szervezetekhez képest még erőteljesebb alkotmányos érdek fűződik. A pártok, a pártalapítványok, illetve a szakszervezetek a közügyek megvitatásában feladatszerűen vesznek részt, így esetükben a külföldi befolyás elhárítása legalább olyan fontos alkotmányos cél, mint a Törvény hatálya alá tartozó civil szervezetek esetében (függetlenül attól, hogy a jogállás közhiteles nyilvántartásban való rögzítése ezen cél elérésére alkalmas-e). A pártok esetében, tekintettel azok alkotmányos funkciójára, miszerint közreműködnek a népakarat kialakításában és kinyilvánításában, és a közhatalmi intézményekbe képviselőket küldenek, így közvetve részt vesznek a közhatalom-gyakorlásban, a civil szervezeteknél jóval nagyobb szintű átláthatóság lenne indokolt. A támadott Törvény pedig (például a közvetett támogatás fogalmának vagy a támogatás módjára vonatkozó, a vagyoni hozzájárulásnál szélesebb kategória alkalmazásával) olyan kötelezettséget is ró a civil szervezetekre, amelyek a párttörvény alapján még a pártokat sem terhelik, tekintettel arra, hogy a Törvény a közvetett külföldi támogatást is külföldinek minősíti, a párttörvény viszont nem.</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Azzal, hogy a Törvény 1. § (4) bekezdés a) pontja egyes támogatásban részesülő szervezeteket mentesít a „külföldről támogatott” jogállás bejelentésének és nyilvántartásban való rögzítésének kötelezettsége alól, a jogalkotó az Alaptörvény XV. cikk (1) és (2) bekezdésének megsértésén keresztül alaptörvény-ellenes megkülönböztetést alkalmazott az ilyen kötelezettséggel terhelt civil szervezetek vonatkozásában.</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III.4.3. A Törvény 1. § (4) bekezdésének b)</w:t>
      </w:r>
      <w:proofErr w:type="spellStart"/>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pontjaiban foglalt kivételek esetében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megkülönböztetés szintén önkényes. Attól, hogy valamely civil szervezet sporttevékenységet vagy vallási tevékenységet végez, avagy nemzetiségek jogainak érdekképviseletét látja el, a Törvény indokolásában kifejtett - az indítványozó által egyébként a fentiek szerint eleve vitatott - indokok még ugyanúgy fennállnak külföldi támogatás esetén: nem világos, ezek a szervezetek miért ne szolgálhatnának külföldi érdeket, miért ne lenne rájuk is érvényes a nemzetbiztonsággal, az állami </w:t>
      </w:r>
      <w:proofErr w:type="spellStart"/>
      <w:r>
        <w:rPr>
          <w:rFonts w:ascii="Times New Roman" w:eastAsia="Times New Roman" w:hAnsi="Times New Roman" w:cs="Times New Roman"/>
          <w:sz w:val="24"/>
          <w:szCs w:val="24"/>
        </w:rPr>
        <w:t>szuverenitásal</w:t>
      </w:r>
      <w:proofErr w:type="spellEnd"/>
      <w:r>
        <w:rPr>
          <w:rFonts w:ascii="Times New Roman" w:eastAsia="Times New Roman" w:hAnsi="Times New Roman" w:cs="Times New Roman"/>
          <w:sz w:val="24"/>
          <w:szCs w:val="24"/>
        </w:rPr>
        <w:t xml:space="preserve"> kapcsolatos aggály, vagy az összes többi, a Törvényben felhozott indokra tekintettel a Törvény hatálya alá tartozás.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bookmarkStart w:id="9" w:name="_gjdgxs" w:colFirst="0" w:colLast="0"/>
      <w:bookmarkEnd w:id="9"/>
      <w:r>
        <w:rPr>
          <w:rFonts w:ascii="Times New Roman" w:eastAsia="Times New Roman" w:hAnsi="Times New Roman" w:cs="Times New Roman"/>
          <w:sz w:val="24"/>
          <w:szCs w:val="24"/>
        </w:rPr>
        <w:t xml:space="preserve">III.4.4. De ha a szabályozási koncepció mögött indokolás valós lenne (a támogatott szervezetek a támogató érdekeinek szolgái), önmagában a külföldi támogató kategóriájának bevezetése akkor is diszkriminatív lenne, ha a Törvény hatálya alól nem lenne kivétel. Ugyanis ezen - egyébként elfogadhatatlan, az autonóm, értékek alapján való cselekvés lehetőségét tagadó, és ezzel az Alaptörvény szabályozási koncepciója mögött húzódó emberképet semmibe vevő - megfontolás alapján minden szervezetnek fel kellene tüntetnie minden 7,2 millió forintos forrást. Példának okáért ha egy alapjogokat védő civil szervezet egy állami cégtől kap 500 millió forintot, akkor nem világos, hogy az miért nem köteles a Törvény szabályozási koncepciója fényében ezt feltüntetni. De azért is diszkriminatív ez a szabályozás, mert a törvényi kategóriát egy abszolút értékhez köti (7,2 millió forint), márpedig egy szervezet mozgásterét nem önmagában egy forrás mértéke, hanem annak aránya határozza meg. Nyilvánvaló, hogy ha egy szervezet évi 1 milliárd forrással rendelkezik, és abból csak 7,2 millió származik a Törvény által gyanúsnak minősített forrásból, akkor a Törvény céljaként megnevezett (“szervezetek mögött húzódó érdekeket látni és láttatni”) célt a szabályozás nem tudja szolgálni. Azt az állítást lehetetlen ugyanis igazolni, hogy a források 7 ezreléke bármely szervezetet bármely finanszírozó szolgálatába állítaná. Ugyanígy, ha valamely szervezetnek 15 külföldről származó forrása van (adott esetben különböző földrészekről, különböző nemzetközi szervezetektől, amelyek között semmi kapcsolat nincs), akkor sem lehet azt állítani, hogy a szervezet külföldi érdekeket szolgálna, hiszen a 15 támogató vajon melyiknek lesz a szolgálja az érintett civil szervezet? A törvényi kategória az összes ilyen különbségre érzéketlen, vagyis homogén csoportba sorol olyan szervezeteket, amelyek a Törvény koncepciója szerint nem tartoznak abba.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IV. Az indítvány nyilvánossága</w:t>
      </w:r>
    </w:p>
    <w:p w:rsidR="00655F9F" w:rsidRDefault="00655F9F">
      <w:pPr>
        <w:pStyle w:val="normal0"/>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commentRangeStart w:id="10"/>
      <w:r>
        <w:rPr>
          <w:rFonts w:ascii="Times New Roman" w:eastAsia="Times New Roman" w:hAnsi="Times New Roman" w:cs="Times New Roman"/>
          <w:sz w:val="24"/>
          <w:szCs w:val="24"/>
        </w:rPr>
        <w:t xml:space="preserve">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xml:space="preserve">. 52. § (5) </w:t>
      </w:r>
      <w:proofErr w:type="spellStart"/>
      <w:r>
        <w:rPr>
          <w:rFonts w:ascii="Times New Roman" w:eastAsia="Times New Roman" w:hAnsi="Times New Roman" w:cs="Times New Roman"/>
          <w:sz w:val="24"/>
          <w:szCs w:val="24"/>
        </w:rPr>
        <w:t>bekezése</w:t>
      </w:r>
      <w:proofErr w:type="spellEnd"/>
      <w:r>
        <w:rPr>
          <w:rFonts w:ascii="Times New Roman" w:eastAsia="Times New Roman" w:hAnsi="Times New Roman" w:cs="Times New Roman"/>
          <w:sz w:val="24"/>
          <w:szCs w:val="24"/>
        </w:rPr>
        <w:t xml:space="preserve"> szerint az alkotmányjogi panasz eljárásokban az indítványozónak nyilatkoznia kell adatai kezelését illetően. Az </w:t>
      </w:r>
      <w:proofErr w:type="spellStart"/>
      <w:r>
        <w:rPr>
          <w:rFonts w:ascii="Times New Roman" w:eastAsia="Times New Roman" w:hAnsi="Times New Roman" w:cs="Times New Roman"/>
          <w:sz w:val="24"/>
          <w:szCs w:val="24"/>
        </w:rPr>
        <w:t>Abtv</w:t>
      </w:r>
      <w:proofErr w:type="spellEnd"/>
      <w:r>
        <w:rPr>
          <w:rFonts w:ascii="Times New Roman" w:eastAsia="Times New Roman" w:hAnsi="Times New Roman" w:cs="Times New Roman"/>
          <w:sz w:val="24"/>
          <w:szCs w:val="24"/>
        </w:rPr>
        <w:t>. 57. § (1a) bekezdése és 68.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alapján az alkotmányjogi panaszt az indítványozó hozzájárulása esetén az Alkotmánybíróság nyilvánosságra hozza. Az indítványozó kifejezetten hozzájárul indítványa teljes egészében történő nyilvánosságra hozatalához. Indítványozó az indítvány mellékleteként benyújtott iratok nyilvánosságra hozatalának mellőzését kérik az Alkotmánybíróságtól.</w:t>
      </w:r>
      <w:commentRangeEnd w:id="10"/>
      <w:r>
        <w:commentReference w:id="10"/>
      </w:r>
      <w:r>
        <w:rPr>
          <w:rFonts w:ascii="Times New Roman" w:eastAsia="Times New Roman" w:hAnsi="Times New Roman" w:cs="Times New Roman"/>
          <w:sz w:val="24"/>
          <w:szCs w:val="24"/>
        </w:rPr>
        <w:t xml:space="preserve"> </w:t>
      </w:r>
    </w:p>
    <w:p w:rsidR="00655F9F" w:rsidRDefault="00655F9F">
      <w:pPr>
        <w:pStyle w:val="normal0"/>
        <w:jc w:val="both"/>
        <w:rPr>
          <w:rFonts w:ascii="Times New Roman" w:eastAsia="Times New Roman" w:hAnsi="Times New Roman" w:cs="Times New Roman"/>
          <w:sz w:val="24"/>
          <w:szCs w:val="24"/>
        </w:rPr>
      </w:pP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Budapest, 2017. </w:t>
      </w: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right"/>
        <w:rPr>
          <w:rFonts w:ascii="Times New Roman" w:eastAsia="Times New Roman" w:hAnsi="Times New Roman" w:cs="Times New Roman"/>
          <w:sz w:val="24"/>
          <w:szCs w:val="24"/>
        </w:rPr>
      </w:pPr>
      <w:commentRangeStart w:id="11"/>
      <w:r>
        <w:rPr>
          <w:rFonts w:ascii="Times New Roman" w:eastAsia="Times New Roman" w:hAnsi="Times New Roman" w:cs="Times New Roman"/>
          <w:sz w:val="24"/>
          <w:szCs w:val="24"/>
        </w:rPr>
        <w:t>ALÁÍRÁS</w:t>
      </w:r>
      <w:commentRangeEnd w:id="11"/>
      <w:r>
        <w:commentReference w:id="11"/>
      </w:r>
    </w:p>
    <w:p w:rsidR="00655F9F" w:rsidRDefault="00655F9F">
      <w:pPr>
        <w:pStyle w:val="normal0"/>
        <w:jc w:val="both"/>
        <w:rPr>
          <w:rFonts w:ascii="Times New Roman" w:eastAsia="Times New Roman" w:hAnsi="Times New Roman" w:cs="Times New Roman"/>
          <w:sz w:val="24"/>
          <w:szCs w:val="24"/>
        </w:rPr>
      </w:pPr>
    </w:p>
    <w:p w:rsidR="00655F9F" w:rsidRDefault="00655F9F">
      <w:pPr>
        <w:pStyle w:val="normal0"/>
        <w:jc w:val="both"/>
        <w:rPr>
          <w:rFonts w:ascii="Times New Roman" w:eastAsia="Times New Roman" w:hAnsi="Times New Roman" w:cs="Times New Roman"/>
          <w:sz w:val="24"/>
          <w:szCs w:val="24"/>
        </w:rPr>
      </w:pPr>
    </w:p>
    <w:p w:rsidR="00655F9F" w:rsidRDefault="00655F9F">
      <w:pPr>
        <w:pStyle w:val="normal0"/>
        <w:jc w:val="both"/>
        <w:rPr>
          <w:rFonts w:ascii="Times New Roman" w:eastAsia="Times New Roman" w:hAnsi="Times New Roman" w:cs="Times New Roman"/>
          <w:sz w:val="24"/>
          <w:szCs w:val="24"/>
        </w:rPr>
      </w:pPr>
    </w:p>
    <w:p w:rsidR="00655F9F" w:rsidRDefault="00495E57">
      <w:pPr>
        <w:pStyle w:val="normal0"/>
        <w:jc w:val="both"/>
        <w:rPr>
          <w:rFonts w:ascii="Times New Roman" w:eastAsia="Times New Roman" w:hAnsi="Times New Roman" w:cs="Times New Roman"/>
          <w:sz w:val="24"/>
          <w:szCs w:val="24"/>
        </w:rPr>
      </w:pPr>
      <w:commentRangeStart w:id="12"/>
      <w:r>
        <w:rPr>
          <w:rFonts w:ascii="Times New Roman" w:eastAsia="Times New Roman" w:hAnsi="Times New Roman" w:cs="Times New Roman"/>
          <w:sz w:val="24"/>
          <w:szCs w:val="24"/>
        </w:rPr>
        <w:t>Mellékletek</w:t>
      </w:r>
      <w:commentRangeEnd w:id="12"/>
      <w:r>
        <w:commentReference w:id="12"/>
      </w:r>
    </w:p>
    <w:p w:rsidR="00655F9F" w:rsidRDefault="00655F9F">
      <w:pPr>
        <w:pStyle w:val="normal0"/>
        <w:jc w:val="both"/>
        <w:rPr>
          <w:rFonts w:ascii="Times New Roman" w:eastAsia="Times New Roman" w:hAnsi="Times New Roman" w:cs="Times New Roman"/>
          <w:sz w:val="24"/>
          <w:szCs w:val="24"/>
        </w:rPr>
      </w:pPr>
    </w:p>
    <w:p w:rsidR="00655F9F" w:rsidRDefault="00655F9F">
      <w:pPr>
        <w:pStyle w:val="normal0"/>
        <w:widowControl w:val="0"/>
        <w:rPr>
          <w:rFonts w:ascii="Times New Roman" w:eastAsia="Times New Roman" w:hAnsi="Times New Roman" w:cs="Times New Roman"/>
          <w:sz w:val="24"/>
          <w:szCs w:val="24"/>
        </w:rPr>
        <w:sectPr w:rsidR="00655F9F">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0" w:footer="708" w:gutter="0"/>
          <w:pgNumType w:start="1"/>
          <w:cols w:space="708"/>
        </w:sectPr>
      </w:pPr>
    </w:p>
    <w:p w:rsidR="00655F9F" w:rsidRDefault="00655F9F">
      <w:pPr>
        <w:pStyle w:val="normal0"/>
        <w:jc w:val="both"/>
        <w:rPr>
          <w:rFonts w:ascii="Times New Roman" w:eastAsia="Times New Roman" w:hAnsi="Times New Roman" w:cs="Times New Roman"/>
          <w:sz w:val="24"/>
          <w:szCs w:val="24"/>
        </w:rPr>
      </w:pPr>
    </w:p>
    <w:sectPr w:rsidR="00655F9F" w:rsidSect="00655F9F">
      <w:type w:val="continuous"/>
      <w:pgSz w:w="11909" w:h="16834"/>
      <w:pgMar w:top="1440" w:right="1440" w:bottom="1440" w:left="1440" w:header="0"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655F9F" w:rsidRDefault="00495E57">
      <w:pPr>
        <w:pStyle w:val="normal0"/>
        <w:widowControl w:val="0"/>
        <w:spacing w:line="240" w:lineRule="auto"/>
      </w:pPr>
      <w:r>
        <w:t>Ezt az alkotmányjogi panaszt az itt megadott címre kell eljuttatni. Fontos, hogy a panasznak 2017. december 24-ig meg kell érkeznie az Alkotmánybírósághoz, illetve eddig a napig postára kell adni a panaszt. Ezt követően ez az alkotmányjogi panasz nem terjeszthető elő. Tértivevényes feladást javasolunk.</w:t>
      </w:r>
    </w:p>
  </w:comment>
  <w:comment w:id="2" w:author="Author" w:initials="A">
    <w:p w:rsidR="00655F9F" w:rsidRDefault="00495E57">
      <w:pPr>
        <w:pStyle w:val="normal0"/>
        <w:widowControl w:val="0"/>
        <w:spacing w:line="240" w:lineRule="auto"/>
      </w:pPr>
      <w:r>
        <w:t>Ezeket az adatokat értelemszerűen ki kell tölteni.</w:t>
      </w:r>
    </w:p>
  </w:comment>
  <w:comment w:id="3" w:author="Author" w:initials="A">
    <w:p w:rsidR="00655F9F" w:rsidRDefault="00495E57">
      <w:pPr>
        <w:pStyle w:val="normal0"/>
        <w:widowControl w:val="0"/>
        <w:spacing w:line="240" w:lineRule="auto"/>
      </w:pPr>
      <w:r>
        <w:t>A nem kívántat törölni kell.</w:t>
      </w:r>
    </w:p>
  </w:comment>
  <w:comment w:id="4" w:author="Author" w:initials="A">
    <w:p w:rsidR="00655F9F" w:rsidRDefault="00495E57">
      <w:pPr>
        <w:pStyle w:val="normal0"/>
        <w:widowControl w:val="0"/>
        <w:spacing w:line="240" w:lineRule="auto"/>
      </w:pPr>
      <w:r>
        <w:t>Értelemszerűen azokat kell ebben a felsorolásban meghagyni, amit az indítványozó benyújt.</w:t>
      </w:r>
    </w:p>
  </w:comment>
  <w:comment w:id="5" w:author="Author" w:initials="A">
    <w:p w:rsidR="00655F9F" w:rsidRDefault="00495E57">
      <w:pPr>
        <w:pStyle w:val="normal0"/>
        <w:widowControl w:val="0"/>
        <w:spacing w:line="240" w:lineRule="auto"/>
      </w:pPr>
      <w:r>
        <w:t>E két mondatot törölni kell, ha a szervezet nem tett ilyen bejelentést.</w:t>
      </w:r>
    </w:p>
  </w:comment>
  <w:comment w:id="6" w:author="Author" w:initials="A">
    <w:p w:rsidR="00655F9F" w:rsidRDefault="00495E57">
      <w:pPr>
        <w:pStyle w:val="normal0"/>
        <w:widowControl w:val="0"/>
        <w:spacing w:line="240" w:lineRule="auto"/>
      </w:pPr>
      <w:r>
        <w:t>A nem kívánt törlendő.</w:t>
      </w:r>
    </w:p>
  </w:comment>
  <w:comment w:id="7" w:author="Author" w:initials="A">
    <w:p w:rsidR="00655F9F" w:rsidRDefault="00495E57">
      <w:pPr>
        <w:pStyle w:val="normal0"/>
        <w:widowControl w:val="0"/>
        <w:spacing w:line="240" w:lineRule="auto"/>
      </w:pPr>
      <w:r>
        <w:t xml:space="preserve">Ezt követően le kell írni a szervezet alapszabálya vagy alapító okirata szerinti célja, valamint a szervezet tevékenysége alapján, hogy miképpen kapcsolatos a szervezet tevékenysége a közügyekkel. </w:t>
      </w:r>
      <w:r>
        <w:t>Meg lehet említeni, hogy folytat-e a szervezet tájékoztató tevékenységet, rendez-e vitafórumokat, alakítja-e valamilyen módon a közgondolkodást, van-e szemléletformálási célkitűzése, tájékoztatja-e a sajtót álláspontjáról, felhívja-e a közvélemény figyelmét közérdekű kérdésekben.</w:t>
      </w:r>
    </w:p>
  </w:comment>
  <w:comment w:id="8" w:author="Author" w:initials="A">
    <w:p w:rsidR="00655F9F" w:rsidRDefault="00495E57">
      <w:pPr>
        <w:pStyle w:val="normal0"/>
        <w:widowControl w:val="0"/>
        <w:spacing w:line="240" w:lineRule="auto"/>
      </w:pPr>
      <w:r>
        <w:t>Értelemszerűen törlendő, ha nem ilyen.</w:t>
      </w:r>
    </w:p>
  </w:comment>
  <w:comment w:id="10" w:author="Author" w:initials="A">
    <w:p w:rsidR="00655F9F" w:rsidRDefault="00495E57">
      <w:pPr>
        <w:pStyle w:val="normal0"/>
        <w:widowControl w:val="0"/>
        <w:spacing w:line="240" w:lineRule="auto"/>
      </w:pPr>
      <w:r>
        <w:t>Ezt értelemszerűen át kell alakítani a szervezet döntésének megfelelően.</w:t>
      </w:r>
    </w:p>
  </w:comment>
  <w:comment w:id="11" w:author="Author" w:initials="A">
    <w:p w:rsidR="00655F9F" w:rsidRDefault="00495E57">
      <w:pPr>
        <w:pStyle w:val="normal0"/>
        <w:widowControl w:val="0"/>
        <w:spacing w:line="240" w:lineRule="auto"/>
      </w:pPr>
      <w:r>
        <w:t>A szervezet törvényes vagy meghatalmazott képviselője. Utóbbi esetben meghatalmazást kell csatolni.</w:t>
      </w:r>
    </w:p>
  </w:comment>
  <w:comment w:id="12" w:author="Author" w:initials="A">
    <w:p w:rsidR="00655F9F" w:rsidRDefault="00495E57">
      <w:pPr>
        <w:pStyle w:val="normal0"/>
        <w:widowControl w:val="0"/>
        <w:spacing w:line="240" w:lineRule="auto"/>
      </w:pPr>
      <w:r>
        <w:t>- szükség esetén meghatalmazás</w:t>
      </w:r>
    </w:p>
    <w:p w:rsidR="00655F9F" w:rsidRDefault="00495E57">
      <w:pPr>
        <w:pStyle w:val="normal0"/>
        <w:widowControl w:val="0"/>
        <w:spacing w:line="240" w:lineRule="auto"/>
      </w:pPr>
      <w:r>
        <w:t>- a képviseleti jogot igazoló dokumentum</w:t>
      </w:r>
    </w:p>
    <w:p w:rsidR="00655F9F" w:rsidRDefault="00495E57">
      <w:pPr>
        <w:pStyle w:val="normal0"/>
        <w:widowControl w:val="0"/>
        <w:spacing w:line="240" w:lineRule="auto"/>
      </w:pPr>
      <w:r>
        <w:t>- a Civil Információs Portálon elérhető, a külföldről támogatott szervezetek listája kinyomtatva</w:t>
      </w:r>
    </w:p>
    <w:p w:rsidR="00655F9F" w:rsidRDefault="00495E57">
      <w:pPr>
        <w:pStyle w:val="normal0"/>
        <w:widowControl w:val="0"/>
        <w:spacing w:line="240" w:lineRule="auto"/>
      </w:pPr>
      <w:r>
        <w:t xml:space="preserve">- az érintettséget alátámasztó dokumentumok, amelyek lehetnek például külföldi átutalásokat igazoló banki kivonatok, támogatási szerződések, a szervezet külföldről támogatott </w:t>
      </w:r>
      <w:proofErr w:type="spellStart"/>
      <w:r>
        <w:t>szervezetkénti</w:t>
      </w:r>
      <w:proofErr w:type="spellEnd"/>
      <w:r>
        <w:t xml:space="preserve"> regisztrációját alátámasztó dokumentumok.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9F" w:rsidRDefault="00655F9F" w:rsidP="00655F9F">
      <w:pPr>
        <w:spacing w:line="240" w:lineRule="auto"/>
      </w:pPr>
      <w:r>
        <w:separator/>
      </w:r>
    </w:p>
  </w:endnote>
  <w:endnote w:type="continuationSeparator" w:id="0">
    <w:p w:rsidR="00655F9F" w:rsidRDefault="00655F9F" w:rsidP="00655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al0"/>
      <w:tabs>
        <w:tab w:val="center" w:pos="4153"/>
        <w:tab w:val="right" w:pos="8306"/>
      </w:tabs>
      <w:spacing w:after="72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al0"/>
      <w:spacing w:after="720"/>
      <w:jc w:val="right"/>
      <w:rPr>
        <w:rFonts w:ascii="Times New Roman" w:eastAsia="Times New Roman" w:hAnsi="Times New Roman" w:cs="Times New Roman"/>
      </w:rPr>
    </w:pPr>
    <w:r>
      <w:rPr>
        <w:rFonts w:ascii="Times New Roman" w:eastAsia="Times New Roman" w:hAnsi="Times New Roman" w:cs="Times New Roman"/>
      </w:rPr>
      <w:fldChar w:fldCharType="begin"/>
    </w:r>
    <w:r w:rsidR="00495E57">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71887">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al0"/>
      <w:tabs>
        <w:tab w:val="center" w:pos="4153"/>
        <w:tab w:val="right" w:pos="8306"/>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9F" w:rsidRDefault="00655F9F" w:rsidP="00655F9F">
      <w:pPr>
        <w:spacing w:line="240" w:lineRule="auto"/>
      </w:pPr>
      <w:r>
        <w:separator/>
      </w:r>
    </w:p>
  </w:footnote>
  <w:footnote w:type="continuationSeparator" w:id="0">
    <w:p w:rsidR="00655F9F" w:rsidRDefault="00655F9F" w:rsidP="00655F9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al0"/>
      <w:tabs>
        <w:tab w:val="center" w:pos="4153"/>
        <w:tab w:val="right" w:pos="8306"/>
      </w:tabs>
      <w:spacing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9F" w:rsidRDefault="00655F9F">
    <w:pPr>
      <w:pStyle w:val="normal0"/>
      <w:tabs>
        <w:tab w:val="center" w:pos="4153"/>
        <w:tab w:val="right" w:pos="8306"/>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0A34"/>
    <w:multiLevelType w:val="multilevel"/>
    <w:tmpl w:val="2290325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9F"/>
    <w:rsid w:val="00495E57"/>
    <w:rsid w:val="00655F9F"/>
    <w:rsid w:val="0067188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hu-HU" w:eastAsia="hu-H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55F9F"/>
    <w:pPr>
      <w:keepNext/>
      <w:keepLines/>
      <w:spacing w:before="400" w:after="120"/>
      <w:outlineLvl w:val="0"/>
    </w:pPr>
    <w:rPr>
      <w:sz w:val="40"/>
      <w:szCs w:val="40"/>
    </w:rPr>
  </w:style>
  <w:style w:type="paragraph" w:styleId="Heading2">
    <w:name w:val="heading 2"/>
    <w:basedOn w:val="normal0"/>
    <w:next w:val="normal0"/>
    <w:rsid w:val="00655F9F"/>
    <w:pPr>
      <w:keepNext/>
      <w:keepLines/>
      <w:spacing w:before="360" w:after="120"/>
      <w:outlineLvl w:val="1"/>
    </w:pPr>
    <w:rPr>
      <w:sz w:val="32"/>
      <w:szCs w:val="32"/>
    </w:rPr>
  </w:style>
  <w:style w:type="paragraph" w:styleId="Heading3">
    <w:name w:val="heading 3"/>
    <w:basedOn w:val="normal0"/>
    <w:next w:val="normal0"/>
    <w:rsid w:val="00655F9F"/>
    <w:pPr>
      <w:keepNext/>
      <w:keepLines/>
      <w:spacing w:before="320" w:after="80"/>
      <w:outlineLvl w:val="2"/>
    </w:pPr>
    <w:rPr>
      <w:color w:val="434343"/>
      <w:sz w:val="28"/>
      <w:szCs w:val="28"/>
    </w:rPr>
  </w:style>
  <w:style w:type="paragraph" w:styleId="Heading4">
    <w:name w:val="heading 4"/>
    <w:basedOn w:val="normal0"/>
    <w:next w:val="normal0"/>
    <w:rsid w:val="00655F9F"/>
    <w:pPr>
      <w:keepNext/>
      <w:keepLines/>
      <w:spacing w:before="280" w:after="80"/>
      <w:outlineLvl w:val="3"/>
    </w:pPr>
    <w:rPr>
      <w:color w:val="666666"/>
      <w:sz w:val="24"/>
      <w:szCs w:val="24"/>
    </w:rPr>
  </w:style>
  <w:style w:type="paragraph" w:styleId="Heading5">
    <w:name w:val="heading 5"/>
    <w:basedOn w:val="normal0"/>
    <w:next w:val="normal0"/>
    <w:rsid w:val="00655F9F"/>
    <w:pPr>
      <w:keepNext/>
      <w:keepLines/>
      <w:spacing w:before="240" w:after="80"/>
      <w:outlineLvl w:val="4"/>
    </w:pPr>
    <w:rPr>
      <w:color w:val="666666"/>
    </w:rPr>
  </w:style>
  <w:style w:type="paragraph" w:styleId="Heading6">
    <w:name w:val="heading 6"/>
    <w:basedOn w:val="normal0"/>
    <w:next w:val="normal0"/>
    <w:rsid w:val="00655F9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5F9F"/>
  </w:style>
  <w:style w:type="table" w:customStyle="1" w:styleId="TableNormal1">
    <w:name w:val="Table Normal1"/>
    <w:rsid w:val="00655F9F"/>
    <w:tblPr>
      <w:tblCellMar>
        <w:top w:w="0" w:type="dxa"/>
        <w:left w:w="0" w:type="dxa"/>
        <w:bottom w:w="0" w:type="dxa"/>
        <w:right w:w="0" w:type="dxa"/>
      </w:tblCellMar>
    </w:tblPr>
  </w:style>
  <w:style w:type="paragraph" w:styleId="Title">
    <w:name w:val="Title"/>
    <w:basedOn w:val="normal0"/>
    <w:next w:val="normal0"/>
    <w:rsid w:val="00655F9F"/>
    <w:pPr>
      <w:keepNext/>
      <w:keepLines/>
      <w:spacing w:after="60"/>
    </w:pPr>
    <w:rPr>
      <w:sz w:val="52"/>
      <w:szCs w:val="52"/>
    </w:rPr>
  </w:style>
  <w:style w:type="paragraph" w:styleId="Subtitle">
    <w:name w:val="Subtitle"/>
    <w:basedOn w:val="normal0"/>
    <w:next w:val="normal0"/>
    <w:rsid w:val="00655F9F"/>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655F9F"/>
    <w:pPr>
      <w:spacing w:line="240" w:lineRule="auto"/>
    </w:pPr>
    <w:rPr>
      <w:sz w:val="20"/>
      <w:szCs w:val="20"/>
    </w:rPr>
  </w:style>
  <w:style w:type="character" w:customStyle="1" w:styleId="CommentTextChar">
    <w:name w:val="Comment Text Char"/>
    <w:basedOn w:val="DefaultParagraphFont"/>
    <w:link w:val="CommentText"/>
    <w:uiPriority w:val="99"/>
    <w:semiHidden/>
    <w:rsid w:val="00655F9F"/>
    <w:rPr>
      <w:sz w:val="20"/>
      <w:szCs w:val="20"/>
    </w:rPr>
  </w:style>
  <w:style w:type="character" w:styleId="CommentReference">
    <w:name w:val="annotation reference"/>
    <w:basedOn w:val="DefaultParagraphFont"/>
    <w:uiPriority w:val="99"/>
    <w:semiHidden/>
    <w:unhideWhenUsed/>
    <w:rsid w:val="00655F9F"/>
    <w:rPr>
      <w:sz w:val="16"/>
      <w:szCs w:val="16"/>
    </w:rPr>
  </w:style>
  <w:style w:type="paragraph" w:styleId="BalloonText">
    <w:name w:val="Balloon Text"/>
    <w:basedOn w:val="Normal"/>
    <w:link w:val="BalloonTextChar"/>
    <w:uiPriority w:val="99"/>
    <w:semiHidden/>
    <w:unhideWhenUsed/>
    <w:rsid w:val="00495E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5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hu-HU" w:eastAsia="hu-H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55F9F"/>
    <w:pPr>
      <w:keepNext/>
      <w:keepLines/>
      <w:spacing w:before="400" w:after="120"/>
      <w:outlineLvl w:val="0"/>
    </w:pPr>
    <w:rPr>
      <w:sz w:val="40"/>
      <w:szCs w:val="40"/>
    </w:rPr>
  </w:style>
  <w:style w:type="paragraph" w:styleId="Heading2">
    <w:name w:val="heading 2"/>
    <w:basedOn w:val="normal0"/>
    <w:next w:val="normal0"/>
    <w:rsid w:val="00655F9F"/>
    <w:pPr>
      <w:keepNext/>
      <w:keepLines/>
      <w:spacing w:before="360" w:after="120"/>
      <w:outlineLvl w:val="1"/>
    </w:pPr>
    <w:rPr>
      <w:sz w:val="32"/>
      <w:szCs w:val="32"/>
    </w:rPr>
  </w:style>
  <w:style w:type="paragraph" w:styleId="Heading3">
    <w:name w:val="heading 3"/>
    <w:basedOn w:val="normal0"/>
    <w:next w:val="normal0"/>
    <w:rsid w:val="00655F9F"/>
    <w:pPr>
      <w:keepNext/>
      <w:keepLines/>
      <w:spacing w:before="320" w:after="80"/>
      <w:outlineLvl w:val="2"/>
    </w:pPr>
    <w:rPr>
      <w:color w:val="434343"/>
      <w:sz w:val="28"/>
      <w:szCs w:val="28"/>
    </w:rPr>
  </w:style>
  <w:style w:type="paragraph" w:styleId="Heading4">
    <w:name w:val="heading 4"/>
    <w:basedOn w:val="normal0"/>
    <w:next w:val="normal0"/>
    <w:rsid w:val="00655F9F"/>
    <w:pPr>
      <w:keepNext/>
      <w:keepLines/>
      <w:spacing w:before="280" w:after="80"/>
      <w:outlineLvl w:val="3"/>
    </w:pPr>
    <w:rPr>
      <w:color w:val="666666"/>
      <w:sz w:val="24"/>
      <w:szCs w:val="24"/>
    </w:rPr>
  </w:style>
  <w:style w:type="paragraph" w:styleId="Heading5">
    <w:name w:val="heading 5"/>
    <w:basedOn w:val="normal0"/>
    <w:next w:val="normal0"/>
    <w:rsid w:val="00655F9F"/>
    <w:pPr>
      <w:keepNext/>
      <w:keepLines/>
      <w:spacing w:before="240" w:after="80"/>
      <w:outlineLvl w:val="4"/>
    </w:pPr>
    <w:rPr>
      <w:color w:val="666666"/>
    </w:rPr>
  </w:style>
  <w:style w:type="paragraph" w:styleId="Heading6">
    <w:name w:val="heading 6"/>
    <w:basedOn w:val="normal0"/>
    <w:next w:val="normal0"/>
    <w:rsid w:val="00655F9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55F9F"/>
  </w:style>
  <w:style w:type="table" w:customStyle="1" w:styleId="TableNormal1">
    <w:name w:val="Table Normal1"/>
    <w:rsid w:val="00655F9F"/>
    <w:tblPr>
      <w:tblCellMar>
        <w:top w:w="0" w:type="dxa"/>
        <w:left w:w="0" w:type="dxa"/>
        <w:bottom w:w="0" w:type="dxa"/>
        <w:right w:w="0" w:type="dxa"/>
      </w:tblCellMar>
    </w:tblPr>
  </w:style>
  <w:style w:type="paragraph" w:styleId="Title">
    <w:name w:val="Title"/>
    <w:basedOn w:val="normal0"/>
    <w:next w:val="normal0"/>
    <w:rsid w:val="00655F9F"/>
    <w:pPr>
      <w:keepNext/>
      <w:keepLines/>
      <w:spacing w:after="60"/>
    </w:pPr>
    <w:rPr>
      <w:sz w:val="52"/>
      <w:szCs w:val="52"/>
    </w:rPr>
  </w:style>
  <w:style w:type="paragraph" w:styleId="Subtitle">
    <w:name w:val="Subtitle"/>
    <w:basedOn w:val="normal0"/>
    <w:next w:val="normal0"/>
    <w:rsid w:val="00655F9F"/>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655F9F"/>
    <w:pPr>
      <w:spacing w:line="240" w:lineRule="auto"/>
    </w:pPr>
    <w:rPr>
      <w:sz w:val="20"/>
      <w:szCs w:val="20"/>
    </w:rPr>
  </w:style>
  <w:style w:type="character" w:customStyle="1" w:styleId="CommentTextChar">
    <w:name w:val="Comment Text Char"/>
    <w:basedOn w:val="DefaultParagraphFont"/>
    <w:link w:val="CommentText"/>
    <w:uiPriority w:val="99"/>
    <w:semiHidden/>
    <w:rsid w:val="00655F9F"/>
    <w:rPr>
      <w:sz w:val="20"/>
      <w:szCs w:val="20"/>
    </w:rPr>
  </w:style>
  <w:style w:type="character" w:styleId="CommentReference">
    <w:name w:val="annotation reference"/>
    <w:basedOn w:val="DefaultParagraphFont"/>
    <w:uiPriority w:val="99"/>
    <w:semiHidden/>
    <w:unhideWhenUsed/>
    <w:rsid w:val="00655F9F"/>
    <w:rPr>
      <w:sz w:val="16"/>
      <w:szCs w:val="16"/>
    </w:rPr>
  </w:style>
  <w:style w:type="paragraph" w:styleId="BalloonText">
    <w:name w:val="Balloon Text"/>
    <w:basedOn w:val="Normal"/>
    <w:link w:val="BalloonTextChar"/>
    <w:uiPriority w:val="99"/>
    <w:semiHidden/>
    <w:unhideWhenUsed/>
    <w:rsid w:val="00495E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viltorveny@tasz.hu" TargetMode="Externa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7673</Words>
  <Characters>54330</Characters>
  <Application>Microsoft Macintosh Word</Application>
  <DocSecurity>0</DocSecurity>
  <Lines>787</Lines>
  <Paragraphs>193</Paragraphs>
  <ScaleCrop>false</ScaleCrop>
  <LinksUpToDate>false</LinksUpToDate>
  <CharactersWithSpaces>61810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2017-08-24T10:09:00Z</dcterms:created>
  <dcterms:modified xsi:type="dcterms:W3CDTF">2017-08-24T10:09:00Z</dcterms:modified>
</cp:coreProperties>
</file>