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6014" w14:textId="77777777" w:rsidR="00A63C57" w:rsidRPr="00091119" w:rsidRDefault="00A63C57" w:rsidP="00091119">
      <w:pPr>
        <w:pStyle w:val="Cm"/>
        <w:jc w:val="center"/>
        <w:rPr>
          <w:rFonts w:ascii="Times New Roman" w:hAnsi="Times New Roman" w:cs="Times New Roman"/>
          <w:b/>
          <w:color w:val="auto"/>
          <w:sz w:val="28"/>
          <w:szCs w:val="28"/>
        </w:rPr>
      </w:pPr>
      <w:r w:rsidRPr="00091119">
        <w:rPr>
          <w:rFonts w:ascii="Times New Roman" w:hAnsi="Times New Roman" w:cs="Times New Roman"/>
          <w:b/>
          <w:color w:val="auto"/>
          <w:sz w:val="28"/>
          <w:szCs w:val="28"/>
        </w:rPr>
        <w:t>Gurbai Sándor</w:t>
      </w:r>
    </w:p>
    <w:p w14:paraId="46D49E5B" w14:textId="77777777" w:rsidR="00AF3438" w:rsidRPr="00091119" w:rsidRDefault="00CF03E8" w:rsidP="00091119">
      <w:pPr>
        <w:pStyle w:val="Cm"/>
        <w:jc w:val="center"/>
        <w:rPr>
          <w:rFonts w:ascii="Times New Roman" w:hAnsi="Times New Roman" w:cs="Times New Roman"/>
          <w:b/>
          <w:color w:val="auto"/>
          <w:sz w:val="28"/>
          <w:szCs w:val="28"/>
        </w:rPr>
      </w:pPr>
      <w:r w:rsidRPr="00091119">
        <w:rPr>
          <w:rFonts w:ascii="Times New Roman" w:hAnsi="Times New Roman" w:cs="Times New Roman"/>
          <w:b/>
          <w:color w:val="auto"/>
          <w:sz w:val="28"/>
          <w:szCs w:val="28"/>
        </w:rPr>
        <w:t xml:space="preserve">A </w:t>
      </w:r>
      <w:r w:rsidR="009E7FD0" w:rsidRPr="00091119">
        <w:rPr>
          <w:rFonts w:ascii="Times New Roman" w:hAnsi="Times New Roman" w:cs="Times New Roman"/>
          <w:b/>
          <w:color w:val="auto"/>
          <w:sz w:val="28"/>
          <w:szCs w:val="28"/>
        </w:rPr>
        <w:t>nem-önkéntes</w:t>
      </w:r>
      <w:r w:rsidR="001D7D02" w:rsidRPr="00091119">
        <w:rPr>
          <w:rFonts w:ascii="Times New Roman" w:hAnsi="Times New Roman" w:cs="Times New Roman"/>
          <w:b/>
          <w:color w:val="auto"/>
          <w:sz w:val="28"/>
          <w:szCs w:val="28"/>
        </w:rPr>
        <w:t xml:space="preserve"> </w:t>
      </w:r>
      <w:r w:rsidR="005A7053" w:rsidRPr="00091119">
        <w:rPr>
          <w:rFonts w:ascii="Times New Roman" w:hAnsi="Times New Roman" w:cs="Times New Roman"/>
          <w:b/>
          <w:color w:val="auto"/>
          <w:sz w:val="28"/>
          <w:szCs w:val="28"/>
        </w:rPr>
        <w:t xml:space="preserve">intézeti elhelyezés </w:t>
      </w:r>
      <w:r w:rsidR="001D7D02" w:rsidRPr="00091119">
        <w:rPr>
          <w:rFonts w:ascii="Times New Roman" w:hAnsi="Times New Roman" w:cs="Times New Roman"/>
          <w:b/>
          <w:color w:val="auto"/>
          <w:sz w:val="28"/>
          <w:szCs w:val="28"/>
        </w:rPr>
        <w:t>és a</w:t>
      </w:r>
      <w:r w:rsidR="009E7FD0" w:rsidRPr="00091119">
        <w:rPr>
          <w:rFonts w:ascii="Times New Roman" w:hAnsi="Times New Roman" w:cs="Times New Roman"/>
          <w:b/>
          <w:color w:val="auto"/>
          <w:sz w:val="28"/>
          <w:szCs w:val="28"/>
        </w:rPr>
        <w:t xml:space="preserve"> </w:t>
      </w:r>
      <w:proofErr w:type="gramStart"/>
      <w:r w:rsidR="009E7FD0" w:rsidRPr="00091119">
        <w:rPr>
          <w:rFonts w:ascii="Times New Roman" w:hAnsi="Times New Roman" w:cs="Times New Roman"/>
          <w:b/>
          <w:color w:val="auto"/>
          <w:sz w:val="28"/>
          <w:szCs w:val="28"/>
        </w:rPr>
        <w:t>nem-önkéntes</w:t>
      </w:r>
      <w:r w:rsidR="001D7D02" w:rsidRPr="00091119">
        <w:rPr>
          <w:rFonts w:ascii="Times New Roman" w:hAnsi="Times New Roman" w:cs="Times New Roman"/>
          <w:b/>
          <w:color w:val="auto"/>
          <w:sz w:val="28"/>
          <w:szCs w:val="28"/>
        </w:rPr>
        <w:t xml:space="preserve"> </w:t>
      </w:r>
      <w:r w:rsidR="005A7053" w:rsidRPr="00091119">
        <w:rPr>
          <w:rFonts w:ascii="Times New Roman" w:hAnsi="Times New Roman" w:cs="Times New Roman"/>
          <w:b/>
          <w:color w:val="auto"/>
          <w:sz w:val="28"/>
          <w:szCs w:val="28"/>
        </w:rPr>
        <w:t>gyógykezelés</w:t>
      </w:r>
      <w:proofErr w:type="gramEnd"/>
    </w:p>
    <w:p w14:paraId="65CBE0A6" w14:textId="77777777" w:rsidR="00CF03E8" w:rsidRPr="00091119" w:rsidRDefault="005A7053" w:rsidP="00091119">
      <w:pPr>
        <w:pStyle w:val="Cm"/>
        <w:jc w:val="center"/>
        <w:rPr>
          <w:rFonts w:ascii="Times New Roman" w:hAnsi="Times New Roman" w:cs="Times New Roman"/>
          <w:b/>
          <w:color w:val="auto"/>
          <w:sz w:val="28"/>
          <w:szCs w:val="28"/>
        </w:rPr>
      </w:pPr>
      <w:proofErr w:type="gramStart"/>
      <w:r w:rsidRPr="00091119">
        <w:rPr>
          <w:rFonts w:ascii="Times New Roman" w:hAnsi="Times New Roman" w:cs="Times New Roman"/>
          <w:b/>
          <w:color w:val="auto"/>
          <w:sz w:val="28"/>
          <w:szCs w:val="28"/>
        </w:rPr>
        <w:t>emberi</w:t>
      </w:r>
      <w:proofErr w:type="gramEnd"/>
      <w:r w:rsidRPr="00091119">
        <w:rPr>
          <w:rFonts w:ascii="Times New Roman" w:hAnsi="Times New Roman" w:cs="Times New Roman"/>
          <w:b/>
          <w:color w:val="auto"/>
          <w:sz w:val="28"/>
          <w:szCs w:val="28"/>
        </w:rPr>
        <w:t xml:space="preserve"> jogi </w:t>
      </w:r>
      <w:r w:rsidR="00CF03E8" w:rsidRPr="00091119">
        <w:rPr>
          <w:rFonts w:ascii="Times New Roman" w:hAnsi="Times New Roman" w:cs="Times New Roman"/>
          <w:b/>
          <w:color w:val="auto"/>
          <w:sz w:val="28"/>
          <w:szCs w:val="28"/>
        </w:rPr>
        <w:t>problémá</w:t>
      </w:r>
      <w:r w:rsidRPr="00091119">
        <w:rPr>
          <w:rFonts w:ascii="Times New Roman" w:hAnsi="Times New Roman" w:cs="Times New Roman"/>
          <w:b/>
          <w:color w:val="auto"/>
          <w:sz w:val="28"/>
          <w:szCs w:val="28"/>
        </w:rPr>
        <w:t>i</w:t>
      </w:r>
      <w:r w:rsidR="00CF03E8" w:rsidRPr="00091119">
        <w:rPr>
          <w:rFonts w:ascii="Times New Roman" w:hAnsi="Times New Roman" w:cs="Times New Roman"/>
          <w:b/>
          <w:color w:val="auto"/>
          <w:sz w:val="28"/>
          <w:szCs w:val="28"/>
        </w:rPr>
        <w:t xml:space="preserve"> és</w:t>
      </w:r>
      <w:r w:rsidR="00A63C57" w:rsidRPr="00091119">
        <w:rPr>
          <w:rFonts w:ascii="Times New Roman" w:hAnsi="Times New Roman" w:cs="Times New Roman"/>
          <w:b/>
          <w:color w:val="auto"/>
          <w:sz w:val="28"/>
          <w:szCs w:val="28"/>
        </w:rPr>
        <w:t xml:space="preserve"> </w:t>
      </w:r>
      <w:r w:rsidR="00CF03E8" w:rsidRPr="00091119">
        <w:rPr>
          <w:rFonts w:ascii="Times New Roman" w:hAnsi="Times New Roman" w:cs="Times New Roman"/>
          <w:b/>
          <w:color w:val="auto"/>
          <w:sz w:val="28"/>
          <w:szCs w:val="28"/>
        </w:rPr>
        <w:t xml:space="preserve">a </w:t>
      </w:r>
      <w:r w:rsidR="001D7D02" w:rsidRPr="00091119">
        <w:rPr>
          <w:rFonts w:ascii="Times New Roman" w:hAnsi="Times New Roman" w:cs="Times New Roman"/>
          <w:b/>
          <w:color w:val="auto"/>
          <w:sz w:val="28"/>
          <w:szCs w:val="28"/>
        </w:rPr>
        <w:t>pszichoszociális</w:t>
      </w:r>
      <w:r w:rsidR="00CF03E8" w:rsidRPr="00091119">
        <w:rPr>
          <w:rFonts w:ascii="Times New Roman" w:hAnsi="Times New Roman" w:cs="Times New Roman"/>
          <w:b/>
          <w:color w:val="auto"/>
          <w:sz w:val="28"/>
          <w:szCs w:val="28"/>
        </w:rPr>
        <w:t xml:space="preserve"> fogyatékosság –</w:t>
      </w:r>
    </w:p>
    <w:p w14:paraId="5976271B" w14:textId="77777777" w:rsidR="00CF03E8" w:rsidRPr="00091119" w:rsidRDefault="001D7D02" w:rsidP="00091119">
      <w:pPr>
        <w:pStyle w:val="Cm"/>
        <w:jc w:val="center"/>
        <w:rPr>
          <w:rFonts w:ascii="Times New Roman" w:hAnsi="Times New Roman" w:cs="Times New Roman"/>
          <w:b/>
          <w:color w:val="auto"/>
          <w:sz w:val="28"/>
          <w:szCs w:val="28"/>
        </w:rPr>
      </w:pPr>
      <w:proofErr w:type="gramStart"/>
      <w:r w:rsidRPr="00091119">
        <w:rPr>
          <w:rFonts w:ascii="Times New Roman" w:hAnsi="Times New Roman" w:cs="Times New Roman"/>
          <w:b/>
          <w:color w:val="auto"/>
          <w:sz w:val="28"/>
          <w:szCs w:val="28"/>
        </w:rPr>
        <w:t>a</w:t>
      </w:r>
      <w:proofErr w:type="gramEnd"/>
      <w:r w:rsidRPr="00091119">
        <w:rPr>
          <w:rFonts w:ascii="Times New Roman" w:hAnsi="Times New Roman" w:cs="Times New Roman"/>
          <w:b/>
          <w:color w:val="auto"/>
          <w:sz w:val="28"/>
          <w:szCs w:val="28"/>
        </w:rPr>
        <w:t xml:space="preserve"> jelenség alternatív formái</w:t>
      </w:r>
      <w:r w:rsidR="00AF3438" w:rsidRPr="00091119">
        <w:rPr>
          <w:rFonts w:ascii="Times New Roman" w:hAnsi="Times New Roman" w:cs="Times New Roman"/>
          <w:b/>
          <w:color w:val="auto"/>
          <w:sz w:val="28"/>
          <w:szCs w:val="28"/>
        </w:rPr>
        <w:t xml:space="preserve"> és </w:t>
      </w:r>
      <w:r w:rsidR="00CF03E8" w:rsidRPr="00091119">
        <w:rPr>
          <w:rFonts w:ascii="Times New Roman" w:hAnsi="Times New Roman" w:cs="Times New Roman"/>
          <w:b/>
          <w:color w:val="auto"/>
          <w:sz w:val="28"/>
          <w:szCs w:val="28"/>
        </w:rPr>
        <w:t>jó gyakorlatok bemutatása</w:t>
      </w:r>
    </w:p>
    <w:p w14:paraId="24C718BE" w14:textId="36F986EA" w:rsidR="00AF3438" w:rsidRPr="007C039A" w:rsidRDefault="007C039A" w:rsidP="007C039A">
      <w:pPr>
        <w:pStyle w:val="Cmsor1"/>
        <w:rPr>
          <w:rFonts w:ascii="Times New Roman" w:hAnsi="Times New Roman" w:cs="Times New Roman"/>
          <w:color w:val="auto"/>
        </w:rPr>
      </w:pPr>
      <w:bookmarkStart w:id="0" w:name="_Toc451415438"/>
      <w:bookmarkStart w:id="1" w:name="_Toc451415558"/>
      <w:bookmarkStart w:id="2" w:name="_Toc451515093"/>
      <w:r w:rsidRPr="007C039A">
        <w:rPr>
          <w:rFonts w:ascii="Times New Roman" w:hAnsi="Times New Roman" w:cs="Times New Roman"/>
          <w:color w:val="auto"/>
        </w:rPr>
        <w:t>Tartalomjegyzék</w:t>
      </w:r>
      <w:bookmarkEnd w:id="0"/>
      <w:bookmarkEnd w:id="1"/>
      <w:bookmarkEnd w:id="2"/>
    </w:p>
    <w:p w14:paraId="6E482033" w14:textId="77777777" w:rsidR="007C039A" w:rsidRDefault="007C039A" w:rsidP="002F3761">
      <w:pPr>
        <w:rPr>
          <w:rFonts w:cs="Times New Roman"/>
          <w:szCs w:val="24"/>
        </w:rPr>
      </w:pPr>
    </w:p>
    <w:p w14:paraId="55008221" w14:textId="25014F6C" w:rsidR="00F10CA2" w:rsidRDefault="007C039A">
      <w:pPr>
        <w:pStyle w:val="TJ1"/>
        <w:tabs>
          <w:tab w:val="right" w:leader="dot" w:pos="9062"/>
        </w:tabs>
        <w:rPr>
          <w:rFonts w:asciiTheme="minorHAnsi" w:eastAsiaTheme="minorEastAsia" w:hAnsiTheme="minorHAnsi"/>
          <w:noProof/>
          <w:sz w:val="22"/>
          <w:lang w:eastAsia="hu-HU"/>
        </w:rPr>
      </w:pPr>
      <w:r>
        <w:rPr>
          <w:rFonts w:eastAsiaTheme="majorEastAsia" w:cs="Times New Roman"/>
          <w:b/>
          <w:bCs/>
          <w:sz w:val="28"/>
          <w:szCs w:val="28"/>
        </w:rPr>
        <w:fldChar w:fldCharType="begin"/>
      </w:r>
      <w:r>
        <w:rPr>
          <w:rFonts w:eastAsiaTheme="majorEastAsia" w:cs="Times New Roman"/>
          <w:b/>
          <w:bCs/>
          <w:sz w:val="28"/>
          <w:szCs w:val="28"/>
        </w:rPr>
        <w:instrText xml:space="preserve"> TOC \o "1-3" \h \z \u </w:instrText>
      </w:r>
      <w:r>
        <w:rPr>
          <w:rFonts w:eastAsiaTheme="majorEastAsia" w:cs="Times New Roman"/>
          <w:b/>
          <w:bCs/>
          <w:sz w:val="28"/>
          <w:szCs w:val="28"/>
        </w:rPr>
        <w:fldChar w:fldCharType="separate"/>
      </w:r>
    </w:p>
    <w:p w14:paraId="0F8D0934" w14:textId="77777777" w:rsidR="00F10CA2" w:rsidRDefault="002D0384">
      <w:pPr>
        <w:pStyle w:val="TJ1"/>
        <w:tabs>
          <w:tab w:val="right" w:leader="dot" w:pos="9062"/>
        </w:tabs>
        <w:rPr>
          <w:rFonts w:asciiTheme="minorHAnsi" w:eastAsiaTheme="minorEastAsia" w:hAnsiTheme="minorHAnsi"/>
          <w:noProof/>
          <w:sz w:val="22"/>
          <w:lang w:eastAsia="hu-HU"/>
        </w:rPr>
      </w:pPr>
      <w:hyperlink w:anchor="_Toc451515094" w:history="1">
        <w:r w:rsidR="00F10CA2" w:rsidRPr="005F01B1">
          <w:rPr>
            <w:rStyle w:val="Hiperhivatkozs"/>
            <w:rFonts w:cs="Times New Roman"/>
            <w:noProof/>
          </w:rPr>
          <w:t>Bevezetés</w:t>
        </w:r>
        <w:r w:rsidR="00F10CA2">
          <w:rPr>
            <w:noProof/>
            <w:webHidden/>
          </w:rPr>
          <w:tab/>
        </w:r>
        <w:r w:rsidR="00F10CA2">
          <w:rPr>
            <w:noProof/>
            <w:webHidden/>
          </w:rPr>
          <w:fldChar w:fldCharType="begin"/>
        </w:r>
        <w:r w:rsidR="00F10CA2">
          <w:rPr>
            <w:noProof/>
            <w:webHidden/>
          </w:rPr>
          <w:instrText xml:space="preserve"> PAGEREF _Toc451515094 \h </w:instrText>
        </w:r>
        <w:r w:rsidR="00F10CA2">
          <w:rPr>
            <w:noProof/>
            <w:webHidden/>
          </w:rPr>
        </w:r>
        <w:r w:rsidR="00F10CA2">
          <w:rPr>
            <w:noProof/>
            <w:webHidden/>
          </w:rPr>
          <w:fldChar w:fldCharType="separate"/>
        </w:r>
        <w:r w:rsidR="002A3BF0">
          <w:rPr>
            <w:noProof/>
            <w:webHidden/>
          </w:rPr>
          <w:t>2</w:t>
        </w:r>
        <w:r w:rsidR="00F10CA2">
          <w:rPr>
            <w:noProof/>
            <w:webHidden/>
          </w:rPr>
          <w:fldChar w:fldCharType="end"/>
        </w:r>
      </w:hyperlink>
    </w:p>
    <w:p w14:paraId="30A6C1DE" w14:textId="77777777" w:rsidR="00F10CA2" w:rsidRDefault="002D0384">
      <w:pPr>
        <w:pStyle w:val="TJ1"/>
        <w:tabs>
          <w:tab w:val="right" w:leader="dot" w:pos="9062"/>
        </w:tabs>
        <w:rPr>
          <w:rFonts w:asciiTheme="minorHAnsi" w:eastAsiaTheme="minorEastAsia" w:hAnsiTheme="minorHAnsi"/>
          <w:noProof/>
          <w:sz w:val="22"/>
          <w:lang w:eastAsia="hu-HU"/>
        </w:rPr>
      </w:pPr>
      <w:hyperlink w:anchor="_Toc451515095" w:history="1">
        <w:r w:rsidR="00F10CA2" w:rsidRPr="005F01B1">
          <w:rPr>
            <w:rStyle w:val="Hiperhivatkozs"/>
            <w:rFonts w:cs="Times New Roman"/>
            <w:noProof/>
          </w:rPr>
          <w:t>1. Fogalomtisztázás</w:t>
        </w:r>
        <w:r w:rsidR="00F10CA2">
          <w:rPr>
            <w:noProof/>
            <w:webHidden/>
          </w:rPr>
          <w:tab/>
        </w:r>
        <w:r w:rsidR="00F10CA2">
          <w:rPr>
            <w:noProof/>
            <w:webHidden/>
          </w:rPr>
          <w:fldChar w:fldCharType="begin"/>
        </w:r>
        <w:r w:rsidR="00F10CA2">
          <w:rPr>
            <w:noProof/>
            <w:webHidden/>
          </w:rPr>
          <w:instrText xml:space="preserve"> PAGEREF _Toc451515095 \h </w:instrText>
        </w:r>
        <w:r w:rsidR="00F10CA2">
          <w:rPr>
            <w:noProof/>
            <w:webHidden/>
          </w:rPr>
        </w:r>
        <w:r w:rsidR="00F10CA2">
          <w:rPr>
            <w:noProof/>
            <w:webHidden/>
          </w:rPr>
          <w:fldChar w:fldCharType="separate"/>
        </w:r>
        <w:r w:rsidR="002A3BF0">
          <w:rPr>
            <w:noProof/>
            <w:webHidden/>
          </w:rPr>
          <w:t>2</w:t>
        </w:r>
        <w:r w:rsidR="00F10CA2">
          <w:rPr>
            <w:noProof/>
            <w:webHidden/>
          </w:rPr>
          <w:fldChar w:fldCharType="end"/>
        </w:r>
      </w:hyperlink>
    </w:p>
    <w:p w14:paraId="08684169" w14:textId="77777777" w:rsidR="00F10CA2" w:rsidRDefault="002D0384">
      <w:pPr>
        <w:pStyle w:val="TJ2"/>
        <w:tabs>
          <w:tab w:val="right" w:leader="dot" w:pos="9062"/>
        </w:tabs>
        <w:rPr>
          <w:rFonts w:asciiTheme="minorHAnsi" w:eastAsiaTheme="minorEastAsia" w:hAnsiTheme="minorHAnsi"/>
          <w:noProof/>
          <w:sz w:val="22"/>
          <w:lang w:eastAsia="hu-HU"/>
        </w:rPr>
      </w:pPr>
      <w:hyperlink w:anchor="_Toc451515096" w:history="1">
        <w:r w:rsidR="00F10CA2" w:rsidRPr="005F01B1">
          <w:rPr>
            <w:rStyle w:val="Hiperhivatkozs"/>
            <w:rFonts w:cs="Times New Roman"/>
            <w:noProof/>
          </w:rPr>
          <w:t>1.1. Nem-önkéntes intézeti elhelyezés és nem-önkéntes gyógykezelés</w:t>
        </w:r>
        <w:r w:rsidR="00F10CA2">
          <w:rPr>
            <w:noProof/>
            <w:webHidden/>
          </w:rPr>
          <w:tab/>
        </w:r>
        <w:r w:rsidR="00F10CA2">
          <w:rPr>
            <w:noProof/>
            <w:webHidden/>
          </w:rPr>
          <w:fldChar w:fldCharType="begin"/>
        </w:r>
        <w:r w:rsidR="00F10CA2">
          <w:rPr>
            <w:noProof/>
            <w:webHidden/>
          </w:rPr>
          <w:instrText xml:space="preserve"> PAGEREF _Toc451515096 \h </w:instrText>
        </w:r>
        <w:r w:rsidR="00F10CA2">
          <w:rPr>
            <w:noProof/>
            <w:webHidden/>
          </w:rPr>
        </w:r>
        <w:r w:rsidR="00F10CA2">
          <w:rPr>
            <w:noProof/>
            <w:webHidden/>
          </w:rPr>
          <w:fldChar w:fldCharType="separate"/>
        </w:r>
        <w:r w:rsidR="002A3BF0">
          <w:rPr>
            <w:noProof/>
            <w:webHidden/>
          </w:rPr>
          <w:t>3</w:t>
        </w:r>
        <w:r w:rsidR="00F10CA2">
          <w:rPr>
            <w:noProof/>
            <w:webHidden/>
          </w:rPr>
          <w:fldChar w:fldCharType="end"/>
        </w:r>
      </w:hyperlink>
    </w:p>
    <w:p w14:paraId="22A211DE" w14:textId="77777777" w:rsidR="00F10CA2" w:rsidRDefault="002D0384">
      <w:pPr>
        <w:pStyle w:val="TJ3"/>
        <w:tabs>
          <w:tab w:val="right" w:leader="dot" w:pos="9062"/>
        </w:tabs>
        <w:rPr>
          <w:rFonts w:asciiTheme="minorHAnsi" w:eastAsiaTheme="minorEastAsia" w:hAnsiTheme="minorHAnsi"/>
          <w:noProof/>
          <w:sz w:val="22"/>
          <w:lang w:eastAsia="hu-HU"/>
        </w:rPr>
      </w:pPr>
      <w:hyperlink w:anchor="_Toc451515097" w:history="1">
        <w:r w:rsidR="00F10CA2" w:rsidRPr="005F01B1">
          <w:rPr>
            <w:rStyle w:val="Hiperhivatkozs"/>
            <w:rFonts w:cs="Times New Roman"/>
            <w:noProof/>
          </w:rPr>
          <w:t>1.1.1. Önkéntes gyógykezelés</w:t>
        </w:r>
        <w:r w:rsidR="00F10CA2">
          <w:rPr>
            <w:noProof/>
            <w:webHidden/>
          </w:rPr>
          <w:tab/>
        </w:r>
        <w:r w:rsidR="00F10CA2">
          <w:rPr>
            <w:noProof/>
            <w:webHidden/>
          </w:rPr>
          <w:fldChar w:fldCharType="begin"/>
        </w:r>
        <w:r w:rsidR="00F10CA2">
          <w:rPr>
            <w:noProof/>
            <w:webHidden/>
          </w:rPr>
          <w:instrText xml:space="preserve"> PAGEREF _Toc451515097 \h </w:instrText>
        </w:r>
        <w:r w:rsidR="00F10CA2">
          <w:rPr>
            <w:noProof/>
            <w:webHidden/>
          </w:rPr>
        </w:r>
        <w:r w:rsidR="00F10CA2">
          <w:rPr>
            <w:noProof/>
            <w:webHidden/>
          </w:rPr>
          <w:fldChar w:fldCharType="separate"/>
        </w:r>
        <w:r w:rsidR="002A3BF0">
          <w:rPr>
            <w:noProof/>
            <w:webHidden/>
          </w:rPr>
          <w:t>3</w:t>
        </w:r>
        <w:r w:rsidR="00F10CA2">
          <w:rPr>
            <w:noProof/>
            <w:webHidden/>
          </w:rPr>
          <w:fldChar w:fldCharType="end"/>
        </w:r>
      </w:hyperlink>
    </w:p>
    <w:p w14:paraId="3E943862" w14:textId="77777777" w:rsidR="00F10CA2" w:rsidRDefault="002D0384">
      <w:pPr>
        <w:pStyle w:val="TJ3"/>
        <w:tabs>
          <w:tab w:val="right" w:leader="dot" w:pos="9062"/>
        </w:tabs>
        <w:rPr>
          <w:rFonts w:asciiTheme="minorHAnsi" w:eastAsiaTheme="minorEastAsia" w:hAnsiTheme="minorHAnsi"/>
          <w:noProof/>
          <w:sz w:val="22"/>
          <w:lang w:eastAsia="hu-HU"/>
        </w:rPr>
      </w:pPr>
      <w:hyperlink w:anchor="_Toc451515098" w:history="1">
        <w:r w:rsidR="00F10CA2" w:rsidRPr="005F01B1">
          <w:rPr>
            <w:rStyle w:val="Hiperhivatkozs"/>
            <w:rFonts w:cs="Times New Roman"/>
            <w:noProof/>
          </w:rPr>
          <w:t>1.1.2. Sürgősségi gyógykezelés</w:t>
        </w:r>
        <w:r w:rsidR="00F10CA2">
          <w:rPr>
            <w:noProof/>
            <w:webHidden/>
          </w:rPr>
          <w:tab/>
        </w:r>
        <w:r w:rsidR="00F10CA2">
          <w:rPr>
            <w:noProof/>
            <w:webHidden/>
          </w:rPr>
          <w:fldChar w:fldCharType="begin"/>
        </w:r>
        <w:r w:rsidR="00F10CA2">
          <w:rPr>
            <w:noProof/>
            <w:webHidden/>
          </w:rPr>
          <w:instrText xml:space="preserve"> PAGEREF _Toc451515098 \h </w:instrText>
        </w:r>
        <w:r w:rsidR="00F10CA2">
          <w:rPr>
            <w:noProof/>
            <w:webHidden/>
          </w:rPr>
        </w:r>
        <w:r w:rsidR="00F10CA2">
          <w:rPr>
            <w:noProof/>
            <w:webHidden/>
          </w:rPr>
          <w:fldChar w:fldCharType="separate"/>
        </w:r>
        <w:r w:rsidR="002A3BF0">
          <w:rPr>
            <w:noProof/>
            <w:webHidden/>
          </w:rPr>
          <w:t>3</w:t>
        </w:r>
        <w:r w:rsidR="00F10CA2">
          <w:rPr>
            <w:noProof/>
            <w:webHidden/>
          </w:rPr>
          <w:fldChar w:fldCharType="end"/>
        </w:r>
      </w:hyperlink>
    </w:p>
    <w:p w14:paraId="5743CD0F" w14:textId="77777777" w:rsidR="00F10CA2" w:rsidRDefault="002D0384">
      <w:pPr>
        <w:pStyle w:val="TJ3"/>
        <w:tabs>
          <w:tab w:val="right" w:leader="dot" w:pos="9062"/>
        </w:tabs>
        <w:rPr>
          <w:rFonts w:asciiTheme="minorHAnsi" w:eastAsiaTheme="minorEastAsia" w:hAnsiTheme="minorHAnsi"/>
          <w:noProof/>
          <w:sz w:val="22"/>
          <w:lang w:eastAsia="hu-HU"/>
        </w:rPr>
      </w:pPr>
      <w:hyperlink w:anchor="_Toc451515099" w:history="1">
        <w:r w:rsidR="00F10CA2" w:rsidRPr="005F01B1">
          <w:rPr>
            <w:rStyle w:val="Hiperhivatkozs"/>
            <w:rFonts w:cs="Times New Roman"/>
            <w:noProof/>
          </w:rPr>
          <w:t>1.1.3. Kötelező gyógykezelés</w:t>
        </w:r>
        <w:r w:rsidR="00F10CA2">
          <w:rPr>
            <w:noProof/>
            <w:webHidden/>
          </w:rPr>
          <w:tab/>
        </w:r>
        <w:r w:rsidR="00F10CA2">
          <w:rPr>
            <w:noProof/>
            <w:webHidden/>
          </w:rPr>
          <w:fldChar w:fldCharType="begin"/>
        </w:r>
        <w:r w:rsidR="00F10CA2">
          <w:rPr>
            <w:noProof/>
            <w:webHidden/>
          </w:rPr>
          <w:instrText xml:space="preserve"> PAGEREF _Toc451515099 \h </w:instrText>
        </w:r>
        <w:r w:rsidR="00F10CA2">
          <w:rPr>
            <w:noProof/>
            <w:webHidden/>
          </w:rPr>
        </w:r>
        <w:r w:rsidR="00F10CA2">
          <w:rPr>
            <w:noProof/>
            <w:webHidden/>
          </w:rPr>
          <w:fldChar w:fldCharType="separate"/>
        </w:r>
        <w:r w:rsidR="002A3BF0">
          <w:rPr>
            <w:noProof/>
            <w:webHidden/>
          </w:rPr>
          <w:t>4</w:t>
        </w:r>
        <w:r w:rsidR="00F10CA2">
          <w:rPr>
            <w:noProof/>
            <w:webHidden/>
          </w:rPr>
          <w:fldChar w:fldCharType="end"/>
        </w:r>
      </w:hyperlink>
    </w:p>
    <w:p w14:paraId="5F1EA0E6" w14:textId="77777777" w:rsidR="00F10CA2" w:rsidRDefault="002D0384">
      <w:pPr>
        <w:pStyle w:val="TJ2"/>
        <w:tabs>
          <w:tab w:val="right" w:leader="dot" w:pos="9062"/>
        </w:tabs>
        <w:rPr>
          <w:rFonts w:asciiTheme="minorHAnsi" w:eastAsiaTheme="minorEastAsia" w:hAnsiTheme="minorHAnsi"/>
          <w:noProof/>
          <w:sz w:val="22"/>
          <w:lang w:eastAsia="hu-HU"/>
        </w:rPr>
      </w:pPr>
      <w:hyperlink w:anchor="_Toc451515100" w:history="1">
        <w:r w:rsidR="00F10CA2" w:rsidRPr="005F01B1">
          <w:rPr>
            <w:rStyle w:val="Hiperhivatkozs"/>
            <w:rFonts w:cs="Times New Roman"/>
            <w:noProof/>
          </w:rPr>
          <w:t>1.2. Pszichoszociális fogyatékosság, pszichiátriai betegség</w:t>
        </w:r>
        <w:r w:rsidR="00F10CA2">
          <w:rPr>
            <w:noProof/>
            <w:webHidden/>
          </w:rPr>
          <w:tab/>
        </w:r>
        <w:r w:rsidR="00F10CA2">
          <w:rPr>
            <w:noProof/>
            <w:webHidden/>
          </w:rPr>
          <w:fldChar w:fldCharType="begin"/>
        </w:r>
        <w:r w:rsidR="00F10CA2">
          <w:rPr>
            <w:noProof/>
            <w:webHidden/>
          </w:rPr>
          <w:instrText xml:space="preserve"> PAGEREF _Toc451515100 \h </w:instrText>
        </w:r>
        <w:r w:rsidR="00F10CA2">
          <w:rPr>
            <w:noProof/>
            <w:webHidden/>
          </w:rPr>
        </w:r>
        <w:r w:rsidR="00F10CA2">
          <w:rPr>
            <w:noProof/>
            <w:webHidden/>
          </w:rPr>
          <w:fldChar w:fldCharType="separate"/>
        </w:r>
        <w:r w:rsidR="002A3BF0">
          <w:rPr>
            <w:noProof/>
            <w:webHidden/>
          </w:rPr>
          <w:t>5</w:t>
        </w:r>
        <w:r w:rsidR="00F10CA2">
          <w:rPr>
            <w:noProof/>
            <w:webHidden/>
          </w:rPr>
          <w:fldChar w:fldCharType="end"/>
        </w:r>
      </w:hyperlink>
    </w:p>
    <w:p w14:paraId="350F7956" w14:textId="77777777" w:rsidR="00F10CA2" w:rsidRDefault="002D0384">
      <w:pPr>
        <w:pStyle w:val="TJ2"/>
        <w:tabs>
          <w:tab w:val="right" w:leader="dot" w:pos="9062"/>
        </w:tabs>
        <w:rPr>
          <w:rFonts w:asciiTheme="minorHAnsi" w:eastAsiaTheme="minorEastAsia" w:hAnsiTheme="minorHAnsi"/>
          <w:noProof/>
          <w:sz w:val="22"/>
          <w:lang w:eastAsia="hu-HU"/>
        </w:rPr>
      </w:pPr>
      <w:hyperlink w:anchor="_Toc451515101" w:history="1">
        <w:r w:rsidR="00F10CA2" w:rsidRPr="005F01B1">
          <w:rPr>
            <w:rStyle w:val="Hiperhivatkozs"/>
            <w:rFonts w:cs="Times New Roman"/>
            <w:noProof/>
          </w:rPr>
          <w:t>1.3. Emberi jogi paradigma</w:t>
        </w:r>
        <w:r w:rsidR="00F10CA2">
          <w:rPr>
            <w:noProof/>
            <w:webHidden/>
          </w:rPr>
          <w:tab/>
        </w:r>
        <w:r w:rsidR="00F10CA2">
          <w:rPr>
            <w:noProof/>
            <w:webHidden/>
          </w:rPr>
          <w:fldChar w:fldCharType="begin"/>
        </w:r>
        <w:r w:rsidR="00F10CA2">
          <w:rPr>
            <w:noProof/>
            <w:webHidden/>
          </w:rPr>
          <w:instrText xml:space="preserve"> PAGEREF _Toc451515101 \h </w:instrText>
        </w:r>
        <w:r w:rsidR="00F10CA2">
          <w:rPr>
            <w:noProof/>
            <w:webHidden/>
          </w:rPr>
        </w:r>
        <w:r w:rsidR="00F10CA2">
          <w:rPr>
            <w:noProof/>
            <w:webHidden/>
          </w:rPr>
          <w:fldChar w:fldCharType="separate"/>
        </w:r>
        <w:r w:rsidR="002A3BF0">
          <w:rPr>
            <w:noProof/>
            <w:webHidden/>
          </w:rPr>
          <w:t>6</w:t>
        </w:r>
        <w:r w:rsidR="00F10CA2">
          <w:rPr>
            <w:noProof/>
            <w:webHidden/>
          </w:rPr>
          <w:fldChar w:fldCharType="end"/>
        </w:r>
      </w:hyperlink>
    </w:p>
    <w:p w14:paraId="2DAEB3A8" w14:textId="77777777" w:rsidR="00F10CA2" w:rsidRDefault="002D0384">
      <w:pPr>
        <w:pStyle w:val="TJ1"/>
        <w:tabs>
          <w:tab w:val="right" w:leader="dot" w:pos="9062"/>
        </w:tabs>
        <w:rPr>
          <w:rFonts w:asciiTheme="minorHAnsi" w:eastAsiaTheme="minorEastAsia" w:hAnsiTheme="minorHAnsi"/>
          <w:noProof/>
          <w:sz w:val="22"/>
          <w:lang w:eastAsia="hu-HU"/>
        </w:rPr>
      </w:pPr>
      <w:hyperlink w:anchor="_Toc451515102" w:history="1">
        <w:r w:rsidR="00F10CA2" w:rsidRPr="005F01B1">
          <w:rPr>
            <w:rStyle w:val="Hiperhivatkozs"/>
            <w:rFonts w:cs="Times New Roman"/>
            <w:noProof/>
          </w:rPr>
          <w:t>2. A pszichoszociális fogyatékossággal élő személyek és a számukra nyújtott ellátások magyarországi helyzetének rövid összefoglalása</w:t>
        </w:r>
        <w:r w:rsidR="00F10CA2">
          <w:rPr>
            <w:noProof/>
            <w:webHidden/>
          </w:rPr>
          <w:tab/>
        </w:r>
        <w:r w:rsidR="00F10CA2">
          <w:rPr>
            <w:noProof/>
            <w:webHidden/>
          </w:rPr>
          <w:fldChar w:fldCharType="begin"/>
        </w:r>
        <w:r w:rsidR="00F10CA2">
          <w:rPr>
            <w:noProof/>
            <w:webHidden/>
          </w:rPr>
          <w:instrText xml:space="preserve"> PAGEREF _Toc451515102 \h </w:instrText>
        </w:r>
        <w:r w:rsidR="00F10CA2">
          <w:rPr>
            <w:noProof/>
            <w:webHidden/>
          </w:rPr>
        </w:r>
        <w:r w:rsidR="00F10CA2">
          <w:rPr>
            <w:noProof/>
            <w:webHidden/>
          </w:rPr>
          <w:fldChar w:fldCharType="separate"/>
        </w:r>
        <w:r w:rsidR="002A3BF0">
          <w:rPr>
            <w:noProof/>
            <w:webHidden/>
          </w:rPr>
          <w:t>7</w:t>
        </w:r>
        <w:r w:rsidR="00F10CA2">
          <w:rPr>
            <w:noProof/>
            <w:webHidden/>
          </w:rPr>
          <w:fldChar w:fldCharType="end"/>
        </w:r>
      </w:hyperlink>
    </w:p>
    <w:p w14:paraId="222EFE96" w14:textId="77777777" w:rsidR="00F10CA2" w:rsidRDefault="002D0384">
      <w:pPr>
        <w:pStyle w:val="TJ1"/>
        <w:tabs>
          <w:tab w:val="right" w:leader="dot" w:pos="9062"/>
        </w:tabs>
        <w:rPr>
          <w:rFonts w:asciiTheme="minorHAnsi" w:eastAsiaTheme="minorEastAsia" w:hAnsiTheme="minorHAnsi"/>
          <w:noProof/>
          <w:sz w:val="22"/>
          <w:lang w:eastAsia="hu-HU"/>
        </w:rPr>
      </w:pPr>
      <w:hyperlink w:anchor="_Toc451515103" w:history="1">
        <w:r w:rsidR="00F10CA2" w:rsidRPr="005F01B1">
          <w:rPr>
            <w:rStyle w:val="Hiperhivatkozs"/>
            <w:rFonts w:cs="Times New Roman"/>
            <w:noProof/>
          </w:rPr>
          <w:t>3. A nem-önkéntes pszichiátriai elhelyezéssel és nem-önkéntes kezeléssel, valamint ezek alternatív formáival kapcsolatos megélt tapasztalatok</w:t>
        </w:r>
        <w:r w:rsidR="00F10CA2">
          <w:rPr>
            <w:noProof/>
            <w:webHidden/>
          </w:rPr>
          <w:tab/>
        </w:r>
        <w:r w:rsidR="00F10CA2">
          <w:rPr>
            <w:noProof/>
            <w:webHidden/>
          </w:rPr>
          <w:fldChar w:fldCharType="begin"/>
        </w:r>
        <w:r w:rsidR="00F10CA2">
          <w:rPr>
            <w:noProof/>
            <w:webHidden/>
          </w:rPr>
          <w:instrText xml:space="preserve"> PAGEREF _Toc451515103 \h </w:instrText>
        </w:r>
        <w:r w:rsidR="00F10CA2">
          <w:rPr>
            <w:noProof/>
            <w:webHidden/>
          </w:rPr>
        </w:r>
        <w:r w:rsidR="00F10CA2">
          <w:rPr>
            <w:noProof/>
            <w:webHidden/>
          </w:rPr>
          <w:fldChar w:fldCharType="separate"/>
        </w:r>
        <w:r w:rsidR="002A3BF0">
          <w:rPr>
            <w:noProof/>
            <w:webHidden/>
          </w:rPr>
          <w:t>8</w:t>
        </w:r>
        <w:r w:rsidR="00F10CA2">
          <w:rPr>
            <w:noProof/>
            <w:webHidden/>
          </w:rPr>
          <w:fldChar w:fldCharType="end"/>
        </w:r>
      </w:hyperlink>
    </w:p>
    <w:p w14:paraId="7FE99010" w14:textId="77777777" w:rsidR="00F10CA2" w:rsidRDefault="002D0384">
      <w:pPr>
        <w:pStyle w:val="TJ1"/>
        <w:tabs>
          <w:tab w:val="right" w:leader="dot" w:pos="9062"/>
        </w:tabs>
        <w:rPr>
          <w:rFonts w:asciiTheme="minorHAnsi" w:eastAsiaTheme="minorEastAsia" w:hAnsiTheme="minorHAnsi"/>
          <w:noProof/>
          <w:sz w:val="22"/>
          <w:lang w:eastAsia="hu-HU"/>
        </w:rPr>
      </w:pPr>
      <w:hyperlink w:anchor="_Toc451515104" w:history="1">
        <w:r w:rsidR="00F10CA2" w:rsidRPr="005F01B1">
          <w:rPr>
            <w:rStyle w:val="Hiperhivatkozs"/>
            <w:rFonts w:cs="Times New Roman"/>
            <w:noProof/>
          </w:rPr>
          <w:t>4. A Nem-önkéntes pszichiátriai elhelyezés és nem-önkéntes kezelés emberi jogi problémái,</w:t>
        </w:r>
        <w:r w:rsidR="00F10CA2" w:rsidRPr="005F01B1">
          <w:rPr>
            <w:rStyle w:val="Hiperhivatkozs"/>
            <w:rFonts w:eastAsia="Calibri" w:cs="Times New Roman"/>
            <w:noProof/>
          </w:rPr>
          <w:t xml:space="preserve"> különös tekintettel </w:t>
        </w:r>
        <w:r w:rsidR="00F10CA2" w:rsidRPr="005F01B1">
          <w:rPr>
            <w:rStyle w:val="Hiperhivatkozs"/>
            <w:rFonts w:cs="Times New Roman"/>
            <w:noProof/>
          </w:rPr>
          <w:t>a nemzetközi emberi jogi jogfejlődésre</w:t>
        </w:r>
        <w:r w:rsidR="00F10CA2">
          <w:rPr>
            <w:noProof/>
            <w:webHidden/>
          </w:rPr>
          <w:tab/>
        </w:r>
        <w:r w:rsidR="00F10CA2">
          <w:rPr>
            <w:noProof/>
            <w:webHidden/>
          </w:rPr>
          <w:fldChar w:fldCharType="begin"/>
        </w:r>
        <w:r w:rsidR="00F10CA2">
          <w:rPr>
            <w:noProof/>
            <w:webHidden/>
          </w:rPr>
          <w:instrText xml:space="preserve"> PAGEREF _Toc451515104 \h </w:instrText>
        </w:r>
        <w:r w:rsidR="00F10CA2">
          <w:rPr>
            <w:noProof/>
            <w:webHidden/>
          </w:rPr>
        </w:r>
        <w:r w:rsidR="00F10CA2">
          <w:rPr>
            <w:noProof/>
            <w:webHidden/>
          </w:rPr>
          <w:fldChar w:fldCharType="separate"/>
        </w:r>
        <w:r w:rsidR="002A3BF0">
          <w:rPr>
            <w:noProof/>
            <w:webHidden/>
          </w:rPr>
          <w:t>11</w:t>
        </w:r>
        <w:r w:rsidR="00F10CA2">
          <w:rPr>
            <w:noProof/>
            <w:webHidden/>
          </w:rPr>
          <w:fldChar w:fldCharType="end"/>
        </w:r>
      </w:hyperlink>
    </w:p>
    <w:p w14:paraId="3E48B245" w14:textId="77777777" w:rsidR="00F10CA2" w:rsidRDefault="002D0384">
      <w:pPr>
        <w:pStyle w:val="TJ2"/>
        <w:tabs>
          <w:tab w:val="right" w:leader="dot" w:pos="9062"/>
        </w:tabs>
        <w:rPr>
          <w:rFonts w:asciiTheme="minorHAnsi" w:eastAsiaTheme="minorEastAsia" w:hAnsiTheme="minorHAnsi"/>
          <w:noProof/>
          <w:sz w:val="22"/>
          <w:lang w:eastAsia="hu-HU"/>
        </w:rPr>
      </w:pPr>
      <w:hyperlink w:anchor="_Toc451515105" w:history="1">
        <w:r w:rsidR="00F10CA2" w:rsidRPr="005F01B1">
          <w:rPr>
            <w:rStyle w:val="Hiperhivatkozs"/>
            <w:rFonts w:cs="Times New Roman"/>
            <w:noProof/>
          </w:rPr>
          <w:t>4.1. Az ENSZ bizottságai és különleges jelentéstevői</w:t>
        </w:r>
        <w:r w:rsidR="00F10CA2">
          <w:rPr>
            <w:noProof/>
            <w:webHidden/>
          </w:rPr>
          <w:tab/>
        </w:r>
        <w:r w:rsidR="00F10CA2">
          <w:rPr>
            <w:noProof/>
            <w:webHidden/>
          </w:rPr>
          <w:fldChar w:fldCharType="begin"/>
        </w:r>
        <w:r w:rsidR="00F10CA2">
          <w:rPr>
            <w:noProof/>
            <w:webHidden/>
          </w:rPr>
          <w:instrText xml:space="preserve"> PAGEREF _Toc451515105 \h </w:instrText>
        </w:r>
        <w:r w:rsidR="00F10CA2">
          <w:rPr>
            <w:noProof/>
            <w:webHidden/>
          </w:rPr>
        </w:r>
        <w:r w:rsidR="00F10CA2">
          <w:rPr>
            <w:noProof/>
            <w:webHidden/>
          </w:rPr>
          <w:fldChar w:fldCharType="separate"/>
        </w:r>
        <w:r w:rsidR="002A3BF0">
          <w:rPr>
            <w:noProof/>
            <w:webHidden/>
          </w:rPr>
          <w:t>12</w:t>
        </w:r>
        <w:r w:rsidR="00F10CA2">
          <w:rPr>
            <w:noProof/>
            <w:webHidden/>
          </w:rPr>
          <w:fldChar w:fldCharType="end"/>
        </w:r>
      </w:hyperlink>
    </w:p>
    <w:p w14:paraId="05EBCFAC" w14:textId="77777777" w:rsidR="00F10CA2" w:rsidRDefault="002D0384">
      <w:pPr>
        <w:pStyle w:val="TJ2"/>
        <w:tabs>
          <w:tab w:val="right" w:leader="dot" w:pos="9062"/>
        </w:tabs>
        <w:rPr>
          <w:rFonts w:asciiTheme="minorHAnsi" w:eastAsiaTheme="minorEastAsia" w:hAnsiTheme="minorHAnsi"/>
          <w:noProof/>
          <w:sz w:val="22"/>
          <w:lang w:eastAsia="hu-HU"/>
        </w:rPr>
      </w:pPr>
      <w:hyperlink w:anchor="_Toc451515106" w:history="1">
        <w:r w:rsidR="00F10CA2" w:rsidRPr="005F01B1">
          <w:rPr>
            <w:rStyle w:val="Hiperhivatkozs"/>
            <w:rFonts w:cs="Times New Roman"/>
            <w:noProof/>
          </w:rPr>
          <w:t>4.2. Az ENSZ Önkényes Fogvatartást Vizsgáló Munkacsoportja</w:t>
        </w:r>
        <w:r w:rsidR="00F10CA2">
          <w:rPr>
            <w:noProof/>
            <w:webHidden/>
          </w:rPr>
          <w:tab/>
        </w:r>
        <w:r w:rsidR="00F10CA2">
          <w:rPr>
            <w:noProof/>
            <w:webHidden/>
          </w:rPr>
          <w:fldChar w:fldCharType="begin"/>
        </w:r>
        <w:r w:rsidR="00F10CA2">
          <w:rPr>
            <w:noProof/>
            <w:webHidden/>
          </w:rPr>
          <w:instrText xml:space="preserve"> PAGEREF _Toc451515106 \h </w:instrText>
        </w:r>
        <w:r w:rsidR="00F10CA2">
          <w:rPr>
            <w:noProof/>
            <w:webHidden/>
          </w:rPr>
        </w:r>
        <w:r w:rsidR="00F10CA2">
          <w:rPr>
            <w:noProof/>
            <w:webHidden/>
          </w:rPr>
          <w:fldChar w:fldCharType="separate"/>
        </w:r>
        <w:r w:rsidR="002A3BF0">
          <w:rPr>
            <w:noProof/>
            <w:webHidden/>
          </w:rPr>
          <w:t>16</w:t>
        </w:r>
        <w:r w:rsidR="00F10CA2">
          <w:rPr>
            <w:noProof/>
            <w:webHidden/>
          </w:rPr>
          <w:fldChar w:fldCharType="end"/>
        </w:r>
      </w:hyperlink>
    </w:p>
    <w:p w14:paraId="428A9B5A" w14:textId="77777777" w:rsidR="00F10CA2" w:rsidRDefault="002D0384">
      <w:pPr>
        <w:pStyle w:val="TJ2"/>
        <w:tabs>
          <w:tab w:val="right" w:leader="dot" w:pos="9062"/>
        </w:tabs>
        <w:rPr>
          <w:rFonts w:asciiTheme="minorHAnsi" w:eastAsiaTheme="minorEastAsia" w:hAnsiTheme="minorHAnsi"/>
          <w:noProof/>
          <w:sz w:val="22"/>
          <w:lang w:eastAsia="hu-HU"/>
        </w:rPr>
      </w:pPr>
      <w:hyperlink w:anchor="_Toc451515107" w:history="1">
        <w:r w:rsidR="00F10CA2" w:rsidRPr="005F01B1">
          <w:rPr>
            <w:rStyle w:val="Hiperhivatkozs"/>
            <w:rFonts w:cs="Times New Roman"/>
            <w:noProof/>
          </w:rPr>
          <w:t>4.3. Az Európa Tanács</w:t>
        </w:r>
        <w:r w:rsidR="00F10CA2">
          <w:rPr>
            <w:noProof/>
            <w:webHidden/>
          </w:rPr>
          <w:tab/>
        </w:r>
        <w:r w:rsidR="00F10CA2">
          <w:rPr>
            <w:noProof/>
            <w:webHidden/>
          </w:rPr>
          <w:fldChar w:fldCharType="begin"/>
        </w:r>
        <w:r w:rsidR="00F10CA2">
          <w:rPr>
            <w:noProof/>
            <w:webHidden/>
          </w:rPr>
          <w:instrText xml:space="preserve"> PAGEREF _Toc451515107 \h </w:instrText>
        </w:r>
        <w:r w:rsidR="00F10CA2">
          <w:rPr>
            <w:noProof/>
            <w:webHidden/>
          </w:rPr>
        </w:r>
        <w:r w:rsidR="00F10CA2">
          <w:rPr>
            <w:noProof/>
            <w:webHidden/>
          </w:rPr>
          <w:fldChar w:fldCharType="separate"/>
        </w:r>
        <w:r w:rsidR="002A3BF0">
          <w:rPr>
            <w:noProof/>
            <w:webHidden/>
          </w:rPr>
          <w:t>17</w:t>
        </w:r>
        <w:r w:rsidR="00F10CA2">
          <w:rPr>
            <w:noProof/>
            <w:webHidden/>
          </w:rPr>
          <w:fldChar w:fldCharType="end"/>
        </w:r>
      </w:hyperlink>
    </w:p>
    <w:p w14:paraId="5A76A96E" w14:textId="77777777" w:rsidR="00F10CA2" w:rsidRDefault="002D0384">
      <w:pPr>
        <w:pStyle w:val="TJ2"/>
        <w:tabs>
          <w:tab w:val="right" w:leader="dot" w:pos="9062"/>
        </w:tabs>
        <w:rPr>
          <w:rFonts w:asciiTheme="minorHAnsi" w:eastAsiaTheme="minorEastAsia" w:hAnsiTheme="minorHAnsi"/>
          <w:noProof/>
          <w:sz w:val="22"/>
          <w:lang w:eastAsia="hu-HU"/>
        </w:rPr>
      </w:pPr>
      <w:hyperlink w:anchor="_Toc451515108" w:history="1">
        <w:r w:rsidR="00F10CA2" w:rsidRPr="005F01B1">
          <w:rPr>
            <w:rStyle w:val="Hiperhivatkozs"/>
            <w:rFonts w:cs="Times New Roman"/>
            <w:noProof/>
          </w:rPr>
          <w:t>4.4. Az Európai Unió</w:t>
        </w:r>
        <w:r w:rsidR="00F10CA2">
          <w:rPr>
            <w:noProof/>
            <w:webHidden/>
          </w:rPr>
          <w:tab/>
        </w:r>
        <w:r w:rsidR="00F10CA2">
          <w:rPr>
            <w:noProof/>
            <w:webHidden/>
          </w:rPr>
          <w:fldChar w:fldCharType="begin"/>
        </w:r>
        <w:r w:rsidR="00F10CA2">
          <w:rPr>
            <w:noProof/>
            <w:webHidden/>
          </w:rPr>
          <w:instrText xml:space="preserve"> PAGEREF _Toc451515108 \h </w:instrText>
        </w:r>
        <w:r w:rsidR="00F10CA2">
          <w:rPr>
            <w:noProof/>
            <w:webHidden/>
          </w:rPr>
        </w:r>
        <w:r w:rsidR="00F10CA2">
          <w:rPr>
            <w:noProof/>
            <w:webHidden/>
          </w:rPr>
          <w:fldChar w:fldCharType="separate"/>
        </w:r>
        <w:r w:rsidR="002A3BF0">
          <w:rPr>
            <w:noProof/>
            <w:webHidden/>
          </w:rPr>
          <w:t>19</w:t>
        </w:r>
        <w:r w:rsidR="00F10CA2">
          <w:rPr>
            <w:noProof/>
            <w:webHidden/>
          </w:rPr>
          <w:fldChar w:fldCharType="end"/>
        </w:r>
      </w:hyperlink>
    </w:p>
    <w:p w14:paraId="154EC3B8" w14:textId="77777777" w:rsidR="00F10CA2" w:rsidRDefault="002D0384">
      <w:pPr>
        <w:pStyle w:val="TJ2"/>
        <w:tabs>
          <w:tab w:val="right" w:leader="dot" w:pos="9062"/>
        </w:tabs>
        <w:rPr>
          <w:rFonts w:asciiTheme="minorHAnsi" w:eastAsiaTheme="minorEastAsia" w:hAnsiTheme="minorHAnsi"/>
          <w:noProof/>
          <w:sz w:val="22"/>
          <w:lang w:eastAsia="hu-HU"/>
        </w:rPr>
      </w:pPr>
      <w:hyperlink w:anchor="_Toc451515109" w:history="1">
        <w:r w:rsidR="00F10CA2" w:rsidRPr="005F01B1">
          <w:rPr>
            <w:rStyle w:val="Hiperhivatkozs"/>
            <w:rFonts w:cs="Times New Roman"/>
            <w:noProof/>
          </w:rPr>
          <w:t>4.5. Összegzés</w:t>
        </w:r>
        <w:r w:rsidR="00F10CA2">
          <w:rPr>
            <w:noProof/>
            <w:webHidden/>
          </w:rPr>
          <w:tab/>
        </w:r>
        <w:r w:rsidR="00F10CA2">
          <w:rPr>
            <w:noProof/>
            <w:webHidden/>
          </w:rPr>
          <w:fldChar w:fldCharType="begin"/>
        </w:r>
        <w:r w:rsidR="00F10CA2">
          <w:rPr>
            <w:noProof/>
            <w:webHidden/>
          </w:rPr>
          <w:instrText xml:space="preserve"> PAGEREF _Toc451515109 \h </w:instrText>
        </w:r>
        <w:r w:rsidR="00F10CA2">
          <w:rPr>
            <w:noProof/>
            <w:webHidden/>
          </w:rPr>
        </w:r>
        <w:r w:rsidR="00F10CA2">
          <w:rPr>
            <w:noProof/>
            <w:webHidden/>
          </w:rPr>
          <w:fldChar w:fldCharType="separate"/>
        </w:r>
        <w:r w:rsidR="002A3BF0">
          <w:rPr>
            <w:noProof/>
            <w:webHidden/>
          </w:rPr>
          <w:t>19</w:t>
        </w:r>
        <w:r w:rsidR="00F10CA2">
          <w:rPr>
            <w:noProof/>
            <w:webHidden/>
          </w:rPr>
          <w:fldChar w:fldCharType="end"/>
        </w:r>
      </w:hyperlink>
    </w:p>
    <w:p w14:paraId="09B72CC2" w14:textId="77777777" w:rsidR="00F10CA2" w:rsidRDefault="002D0384">
      <w:pPr>
        <w:pStyle w:val="TJ1"/>
        <w:tabs>
          <w:tab w:val="right" w:leader="dot" w:pos="9062"/>
        </w:tabs>
        <w:rPr>
          <w:rFonts w:asciiTheme="minorHAnsi" w:eastAsiaTheme="minorEastAsia" w:hAnsiTheme="minorHAnsi"/>
          <w:noProof/>
          <w:sz w:val="22"/>
          <w:lang w:eastAsia="hu-HU"/>
        </w:rPr>
      </w:pPr>
      <w:hyperlink w:anchor="_Toc451515110" w:history="1">
        <w:r w:rsidR="00F10CA2" w:rsidRPr="005F01B1">
          <w:rPr>
            <w:rStyle w:val="Hiperhivatkozs"/>
            <w:rFonts w:cs="Times New Roman"/>
            <w:noProof/>
          </w:rPr>
          <w:t>5. A nem-önkéntes intézeti elhelyezés és a nem-önkéntes gyógykezelés alternatívái, jó gyakorlatok bemutatása</w:t>
        </w:r>
        <w:r w:rsidR="00F10CA2">
          <w:rPr>
            <w:noProof/>
            <w:webHidden/>
          </w:rPr>
          <w:tab/>
        </w:r>
        <w:r w:rsidR="00F10CA2">
          <w:rPr>
            <w:noProof/>
            <w:webHidden/>
          </w:rPr>
          <w:fldChar w:fldCharType="begin"/>
        </w:r>
        <w:r w:rsidR="00F10CA2">
          <w:rPr>
            <w:noProof/>
            <w:webHidden/>
          </w:rPr>
          <w:instrText xml:space="preserve"> PAGEREF _Toc451515110 \h </w:instrText>
        </w:r>
        <w:r w:rsidR="00F10CA2">
          <w:rPr>
            <w:noProof/>
            <w:webHidden/>
          </w:rPr>
        </w:r>
        <w:r w:rsidR="00F10CA2">
          <w:rPr>
            <w:noProof/>
            <w:webHidden/>
          </w:rPr>
          <w:fldChar w:fldCharType="separate"/>
        </w:r>
        <w:r w:rsidR="002A3BF0">
          <w:rPr>
            <w:noProof/>
            <w:webHidden/>
          </w:rPr>
          <w:t>20</w:t>
        </w:r>
        <w:r w:rsidR="00F10CA2">
          <w:rPr>
            <w:noProof/>
            <w:webHidden/>
          </w:rPr>
          <w:fldChar w:fldCharType="end"/>
        </w:r>
      </w:hyperlink>
    </w:p>
    <w:p w14:paraId="533CC9D2" w14:textId="77777777" w:rsidR="00F10CA2" w:rsidRDefault="002D0384">
      <w:pPr>
        <w:pStyle w:val="TJ2"/>
        <w:tabs>
          <w:tab w:val="right" w:leader="dot" w:pos="9062"/>
        </w:tabs>
        <w:rPr>
          <w:rFonts w:asciiTheme="minorHAnsi" w:eastAsiaTheme="minorEastAsia" w:hAnsiTheme="minorHAnsi"/>
          <w:noProof/>
          <w:sz w:val="22"/>
          <w:lang w:eastAsia="hu-HU"/>
        </w:rPr>
      </w:pPr>
      <w:hyperlink w:anchor="_Toc451515111" w:history="1">
        <w:r w:rsidR="00F10CA2" w:rsidRPr="005F01B1">
          <w:rPr>
            <w:rStyle w:val="Hiperhivatkozs"/>
            <w:rFonts w:cs="Times New Roman"/>
            <w:noProof/>
          </w:rPr>
          <w:t>5.1. Sorstársi támogatás/önsegítés</w:t>
        </w:r>
        <w:r w:rsidR="00F10CA2">
          <w:rPr>
            <w:noProof/>
            <w:webHidden/>
          </w:rPr>
          <w:tab/>
        </w:r>
        <w:r w:rsidR="00F10CA2">
          <w:rPr>
            <w:noProof/>
            <w:webHidden/>
          </w:rPr>
          <w:fldChar w:fldCharType="begin"/>
        </w:r>
        <w:r w:rsidR="00F10CA2">
          <w:rPr>
            <w:noProof/>
            <w:webHidden/>
          </w:rPr>
          <w:instrText xml:space="preserve"> PAGEREF _Toc451515111 \h </w:instrText>
        </w:r>
        <w:r w:rsidR="00F10CA2">
          <w:rPr>
            <w:noProof/>
            <w:webHidden/>
          </w:rPr>
        </w:r>
        <w:r w:rsidR="00F10CA2">
          <w:rPr>
            <w:noProof/>
            <w:webHidden/>
          </w:rPr>
          <w:fldChar w:fldCharType="separate"/>
        </w:r>
        <w:r w:rsidR="002A3BF0">
          <w:rPr>
            <w:noProof/>
            <w:webHidden/>
          </w:rPr>
          <w:t>20</w:t>
        </w:r>
        <w:r w:rsidR="00F10CA2">
          <w:rPr>
            <w:noProof/>
            <w:webHidden/>
          </w:rPr>
          <w:fldChar w:fldCharType="end"/>
        </w:r>
      </w:hyperlink>
    </w:p>
    <w:p w14:paraId="5E1751BB" w14:textId="77777777" w:rsidR="00F10CA2" w:rsidRDefault="002D0384">
      <w:pPr>
        <w:pStyle w:val="TJ2"/>
        <w:tabs>
          <w:tab w:val="right" w:leader="dot" w:pos="9062"/>
        </w:tabs>
        <w:rPr>
          <w:rFonts w:asciiTheme="minorHAnsi" w:eastAsiaTheme="minorEastAsia" w:hAnsiTheme="minorHAnsi"/>
          <w:noProof/>
          <w:sz w:val="22"/>
          <w:lang w:eastAsia="hu-HU"/>
        </w:rPr>
      </w:pPr>
      <w:hyperlink w:anchor="_Toc451515112" w:history="1">
        <w:r w:rsidR="00F10CA2" w:rsidRPr="005F01B1">
          <w:rPr>
            <w:rStyle w:val="Hiperhivatkozs"/>
            <w:rFonts w:cs="Times New Roman"/>
            <w:noProof/>
          </w:rPr>
          <w:t>5.2. Felépülés alapú szolgáltatások</w:t>
        </w:r>
        <w:r w:rsidR="00F10CA2">
          <w:rPr>
            <w:noProof/>
            <w:webHidden/>
          </w:rPr>
          <w:tab/>
        </w:r>
        <w:r w:rsidR="00F10CA2">
          <w:rPr>
            <w:noProof/>
            <w:webHidden/>
          </w:rPr>
          <w:fldChar w:fldCharType="begin"/>
        </w:r>
        <w:r w:rsidR="00F10CA2">
          <w:rPr>
            <w:noProof/>
            <w:webHidden/>
          </w:rPr>
          <w:instrText xml:space="preserve"> PAGEREF _Toc451515112 \h </w:instrText>
        </w:r>
        <w:r w:rsidR="00F10CA2">
          <w:rPr>
            <w:noProof/>
            <w:webHidden/>
          </w:rPr>
        </w:r>
        <w:r w:rsidR="00F10CA2">
          <w:rPr>
            <w:noProof/>
            <w:webHidden/>
          </w:rPr>
          <w:fldChar w:fldCharType="separate"/>
        </w:r>
        <w:r w:rsidR="002A3BF0">
          <w:rPr>
            <w:noProof/>
            <w:webHidden/>
          </w:rPr>
          <w:t>22</w:t>
        </w:r>
        <w:r w:rsidR="00F10CA2">
          <w:rPr>
            <w:noProof/>
            <w:webHidden/>
          </w:rPr>
          <w:fldChar w:fldCharType="end"/>
        </w:r>
      </w:hyperlink>
    </w:p>
    <w:p w14:paraId="3FA767F9" w14:textId="77777777" w:rsidR="00F10CA2" w:rsidRDefault="002D0384">
      <w:pPr>
        <w:pStyle w:val="TJ2"/>
        <w:tabs>
          <w:tab w:val="right" w:leader="dot" w:pos="9062"/>
        </w:tabs>
        <w:rPr>
          <w:rFonts w:asciiTheme="minorHAnsi" w:eastAsiaTheme="minorEastAsia" w:hAnsiTheme="minorHAnsi"/>
          <w:noProof/>
          <w:sz w:val="22"/>
          <w:lang w:eastAsia="hu-HU"/>
        </w:rPr>
      </w:pPr>
      <w:hyperlink w:anchor="_Toc451515113" w:history="1">
        <w:r w:rsidR="00F10CA2" w:rsidRPr="005F01B1">
          <w:rPr>
            <w:rStyle w:val="Hiperhivatkozs"/>
            <w:rFonts w:cs="Times New Roman"/>
            <w:noProof/>
          </w:rPr>
          <w:t>5.3. Közösségi támogató hálózatok</w:t>
        </w:r>
        <w:r w:rsidR="00F10CA2">
          <w:rPr>
            <w:noProof/>
            <w:webHidden/>
          </w:rPr>
          <w:tab/>
        </w:r>
        <w:r w:rsidR="00F10CA2">
          <w:rPr>
            <w:noProof/>
            <w:webHidden/>
          </w:rPr>
          <w:fldChar w:fldCharType="begin"/>
        </w:r>
        <w:r w:rsidR="00F10CA2">
          <w:rPr>
            <w:noProof/>
            <w:webHidden/>
          </w:rPr>
          <w:instrText xml:space="preserve"> PAGEREF _Toc451515113 \h </w:instrText>
        </w:r>
        <w:r w:rsidR="00F10CA2">
          <w:rPr>
            <w:noProof/>
            <w:webHidden/>
          </w:rPr>
        </w:r>
        <w:r w:rsidR="00F10CA2">
          <w:rPr>
            <w:noProof/>
            <w:webHidden/>
          </w:rPr>
          <w:fldChar w:fldCharType="separate"/>
        </w:r>
        <w:r w:rsidR="002A3BF0">
          <w:rPr>
            <w:noProof/>
            <w:webHidden/>
          </w:rPr>
          <w:t>25</w:t>
        </w:r>
        <w:r w:rsidR="00F10CA2">
          <w:rPr>
            <w:noProof/>
            <w:webHidden/>
          </w:rPr>
          <w:fldChar w:fldCharType="end"/>
        </w:r>
      </w:hyperlink>
    </w:p>
    <w:p w14:paraId="144C8AA9" w14:textId="77777777" w:rsidR="00F10CA2" w:rsidRDefault="002D0384">
      <w:pPr>
        <w:pStyle w:val="TJ2"/>
        <w:tabs>
          <w:tab w:val="right" w:leader="dot" w:pos="9062"/>
        </w:tabs>
        <w:rPr>
          <w:rFonts w:asciiTheme="minorHAnsi" w:eastAsiaTheme="minorEastAsia" w:hAnsiTheme="minorHAnsi"/>
          <w:noProof/>
          <w:sz w:val="22"/>
          <w:lang w:eastAsia="hu-HU"/>
        </w:rPr>
      </w:pPr>
      <w:hyperlink w:anchor="_Toc451515114" w:history="1">
        <w:r w:rsidR="00F10CA2" w:rsidRPr="005F01B1">
          <w:rPr>
            <w:rStyle w:val="Hiperhivatkozs"/>
            <w:rFonts w:cs="Times New Roman"/>
            <w:noProof/>
          </w:rPr>
          <w:t>5.4. Személyi segítés</w:t>
        </w:r>
        <w:r w:rsidR="00F10CA2">
          <w:rPr>
            <w:noProof/>
            <w:webHidden/>
          </w:rPr>
          <w:tab/>
        </w:r>
        <w:r w:rsidR="00F10CA2">
          <w:rPr>
            <w:noProof/>
            <w:webHidden/>
          </w:rPr>
          <w:fldChar w:fldCharType="begin"/>
        </w:r>
        <w:r w:rsidR="00F10CA2">
          <w:rPr>
            <w:noProof/>
            <w:webHidden/>
          </w:rPr>
          <w:instrText xml:space="preserve"> PAGEREF _Toc451515114 \h </w:instrText>
        </w:r>
        <w:r w:rsidR="00F10CA2">
          <w:rPr>
            <w:noProof/>
            <w:webHidden/>
          </w:rPr>
        </w:r>
        <w:r w:rsidR="00F10CA2">
          <w:rPr>
            <w:noProof/>
            <w:webHidden/>
          </w:rPr>
          <w:fldChar w:fldCharType="separate"/>
        </w:r>
        <w:r w:rsidR="002A3BF0">
          <w:rPr>
            <w:noProof/>
            <w:webHidden/>
          </w:rPr>
          <w:t>27</w:t>
        </w:r>
        <w:r w:rsidR="00F10CA2">
          <w:rPr>
            <w:noProof/>
            <w:webHidden/>
          </w:rPr>
          <w:fldChar w:fldCharType="end"/>
        </w:r>
      </w:hyperlink>
    </w:p>
    <w:p w14:paraId="577028A5" w14:textId="77777777" w:rsidR="00F10CA2" w:rsidRDefault="002D0384">
      <w:pPr>
        <w:pStyle w:val="TJ2"/>
        <w:tabs>
          <w:tab w:val="right" w:leader="dot" w:pos="9062"/>
        </w:tabs>
        <w:rPr>
          <w:rFonts w:asciiTheme="minorHAnsi" w:eastAsiaTheme="minorEastAsia" w:hAnsiTheme="minorHAnsi"/>
          <w:noProof/>
          <w:sz w:val="22"/>
          <w:lang w:eastAsia="hu-HU"/>
        </w:rPr>
      </w:pPr>
      <w:hyperlink w:anchor="_Toc451515115" w:history="1">
        <w:r w:rsidR="00F10CA2" w:rsidRPr="005F01B1">
          <w:rPr>
            <w:rStyle w:val="Hiperhivatkozs"/>
            <w:rFonts w:cs="Times New Roman"/>
            <w:noProof/>
          </w:rPr>
          <w:t>5.5. Összegzés</w:t>
        </w:r>
        <w:r w:rsidR="00F10CA2">
          <w:rPr>
            <w:noProof/>
            <w:webHidden/>
          </w:rPr>
          <w:tab/>
        </w:r>
        <w:r w:rsidR="00F10CA2">
          <w:rPr>
            <w:noProof/>
            <w:webHidden/>
          </w:rPr>
          <w:fldChar w:fldCharType="begin"/>
        </w:r>
        <w:r w:rsidR="00F10CA2">
          <w:rPr>
            <w:noProof/>
            <w:webHidden/>
          </w:rPr>
          <w:instrText xml:space="preserve"> PAGEREF _Toc451515115 \h </w:instrText>
        </w:r>
        <w:r w:rsidR="00F10CA2">
          <w:rPr>
            <w:noProof/>
            <w:webHidden/>
          </w:rPr>
        </w:r>
        <w:r w:rsidR="00F10CA2">
          <w:rPr>
            <w:noProof/>
            <w:webHidden/>
          </w:rPr>
          <w:fldChar w:fldCharType="separate"/>
        </w:r>
        <w:r w:rsidR="002A3BF0">
          <w:rPr>
            <w:noProof/>
            <w:webHidden/>
          </w:rPr>
          <w:t>29</w:t>
        </w:r>
        <w:r w:rsidR="00F10CA2">
          <w:rPr>
            <w:noProof/>
            <w:webHidden/>
          </w:rPr>
          <w:fldChar w:fldCharType="end"/>
        </w:r>
      </w:hyperlink>
    </w:p>
    <w:p w14:paraId="04D42513" w14:textId="77777777" w:rsidR="00F10CA2" w:rsidRDefault="002D0384">
      <w:pPr>
        <w:pStyle w:val="TJ1"/>
        <w:tabs>
          <w:tab w:val="right" w:leader="dot" w:pos="9062"/>
        </w:tabs>
        <w:rPr>
          <w:rFonts w:asciiTheme="minorHAnsi" w:eastAsiaTheme="minorEastAsia" w:hAnsiTheme="minorHAnsi"/>
          <w:noProof/>
          <w:sz w:val="22"/>
          <w:lang w:eastAsia="hu-HU"/>
        </w:rPr>
      </w:pPr>
      <w:hyperlink w:anchor="_Toc451515116" w:history="1">
        <w:r w:rsidR="00F10CA2" w:rsidRPr="005F01B1">
          <w:rPr>
            <w:rStyle w:val="Hiperhivatkozs"/>
            <w:rFonts w:cs="Times New Roman"/>
            <w:noProof/>
          </w:rPr>
          <w:t>6. Konklúzió</w:t>
        </w:r>
        <w:r w:rsidR="00F10CA2">
          <w:rPr>
            <w:noProof/>
            <w:webHidden/>
          </w:rPr>
          <w:tab/>
        </w:r>
        <w:r w:rsidR="00F10CA2">
          <w:rPr>
            <w:noProof/>
            <w:webHidden/>
          </w:rPr>
          <w:fldChar w:fldCharType="begin"/>
        </w:r>
        <w:r w:rsidR="00F10CA2">
          <w:rPr>
            <w:noProof/>
            <w:webHidden/>
          </w:rPr>
          <w:instrText xml:space="preserve"> PAGEREF _Toc451515116 \h </w:instrText>
        </w:r>
        <w:r w:rsidR="00F10CA2">
          <w:rPr>
            <w:noProof/>
            <w:webHidden/>
          </w:rPr>
        </w:r>
        <w:r w:rsidR="00F10CA2">
          <w:rPr>
            <w:noProof/>
            <w:webHidden/>
          </w:rPr>
          <w:fldChar w:fldCharType="separate"/>
        </w:r>
        <w:r w:rsidR="002A3BF0">
          <w:rPr>
            <w:noProof/>
            <w:webHidden/>
          </w:rPr>
          <w:t>30</w:t>
        </w:r>
        <w:r w:rsidR="00F10CA2">
          <w:rPr>
            <w:noProof/>
            <w:webHidden/>
          </w:rPr>
          <w:fldChar w:fldCharType="end"/>
        </w:r>
      </w:hyperlink>
    </w:p>
    <w:p w14:paraId="781614BD" w14:textId="77777777" w:rsidR="00DF4890" w:rsidRDefault="007C039A" w:rsidP="002F3761">
      <w:pPr>
        <w:rPr>
          <w:rFonts w:eastAsiaTheme="majorEastAsia" w:cs="Times New Roman"/>
          <w:b/>
          <w:bCs/>
          <w:sz w:val="28"/>
          <w:szCs w:val="28"/>
        </w:rPr>
      </w:pPr>
      <w:r>
        <w:rPr>
          <w:rFonts w:eastAsiaTheme="majorEastAsia" w:cs="Times New Roman"/>
          <w:b/>
          <w:bCs/>
          <w:sz w:val="28"/>
          <w:szCs w:val="28"/>
        </w:rPr>
        <w:fldChar w:fldCharType="end"/>
      </w:r>
    </w:p>
    <w:p w14:paraId="7C7AC7DB" w14:textId="13A24274" w:rsidR="007C039A" w:rsidRDefault="007C039A">
      <w:pPr>
        <w:spacing w:after="200" w:line="276" w:lineRule="auto"/>
        <w:jc w:val="left"/>
        <w:rPr>
          <w:rFonts w:eastAsiaTheme="majorEastAsia" w:cs="Times New Roman"/>
          <w:b/>
          <w:bCs/>
          <w:sz w:val="28"/>
          <w:szCs w:val="28"/>
        </w:rPr>
      </w:pPr>
      <w:r>
        <w:rPr>
          <w:rFonts w:eastAsiaTheme="majorEastAsia" w:cs="Times New Roman"/>
          <w:b/>
          <w:bCs/>
          <w:sz w:val="28"/>
          <w:szCs w:val="28"/>
        </w:rPr>
        <w:br w:type="page"/>
      </w:r>
    </w:p>
    <w:p w14:paraId="76623431" w14:textId="333F83B9" w:rsidR="007C039A" w:rsidRPr="007C039A" w:rsidRDefault="007C039A" w:rsidP="007C039A">
      <w:pPr>
        <w:pStyle w:val="Cmsor1"/>
        <w:rPr>
          <w:rFonts w:ascii="Times New Roman" w:hAnsi="Times New Roman" w:cs="Times New Roman"/>
          <w:color w:val="auto"/>
        </w:rPr>
      </w:pPr>
      <w:bookmarkStart w:id="3" w:name="_Toc451515094"/>
      <w:r w:rsidRPr="007C039A">
        <w:rPr>
          <w:rFonts w:ascii="Times New Roman" w:hAnsi="Times New Roman" w:cs="Times New Roman"/>
          <w:color w:val="auto"/>
        </w:rPr>
        <w:lastRenderedPageBreak/>
        <w:t>Bevezetés</w:t>
      </w:r>
      <w:bookmarkStart w:id="4" w:name="_GoBack"/>
      <w:bookmarkEnd w:id="3"/>
      <w:bookmarkEnd w:id="4"/>
    </w:p>
    <w:p w14:paraId="307929A6" w14:textId="77777777" w:rsidR="007C039A" w:rsidRPr="002F3761" w:rsidRDefault="007C039A" w:rsidP="002F3761">
      <w:pPr>
        <w:rPr>
          <w:rFonts w:cs="Times New Roman"/>
          <w:szCs w:val="24"/>
        </w:rPr>
      </w:pPr>
    </w:p>
    <w:p w14:paraId="02268C14" w14:textId="6E741074" w:rsidR="00FE5FFB" w:rsidRPr="002F3761" w:rsidRDefault="00FE0008" w:rsidP="002F3761">
      <w:pPr>
        <w:rPr>
          <w:rFonts w:cs="Times New Roman"/>
          <w:szCs w:val="24"/>
        </w:rPr>
      </w:pPr>
      <w:r w:rsidRPr="002F3761">
        <w:rPr>
          <w:rFonts w:cs="Times New Roman"/>
          <w:szCs w:val="24"/>
        </w:rPr>
        <w:t>E</w:t>
      </w:r>
      <w:r w:rsidR="0061750C">
        <w:rPr>
          <w:rFonts w:cs="Times New Roman"/>
          <w:szCs w:val="24"/>
        </w:rPr>
        <w:t>gyes források szerint</w:t>
      </w:r>
      <w:r w:rsidR="006F0DF2">
        <w:rPr>
          <w:rFonts w:cs="Times New Roman"/>
          <w:szCs w:val="24"/>
        </w:rPr>
        <w:t xml:space="preserve"> E</w:t>
      </w:r>
      <w:r w:rsidRPr="002F3761">
        <w:rPr>
          <w:rFonts w:cs="Times New Roman"/>
          <w:szCs w:val="24"/>
        </w:rPr>
        <w:t xml:space="preserve">urópa lakosságának mintegy </w:t>
      </w:r>
      <w:r w:rsidR="00BF3C8B" w:rsidRPr="002F3761">
        <w:rPr>
          <w:rFonts w:cs="Times New Roman"/>
          <w:szCs w:val="24"/>
        </w:rPr>
        <w:t>25-30%-</w:t>
      </w:r>
      <w:proofErr w:type="gramStart"/>
      <w:r w:rsidR="00BF3C8B" w:rsidRPr="002F3761">
        <w:rPr>
          <w:rFonts w:cs="Times New Roman"/>
          <w:szCs w:val="24"/>
        </w:rPr>
        <w:t>a</w:t>
      </w:r>
      <w:proofErr w:type="gramEnd"/>
      <w:r w:rsidR="0083181F">
        <w:rPr>
          <w:rFonts w:cs="Times New Roman"/>
          <w:szCs w:val="24"/>
        </w:rPr>
        <w:t>,</w:t>
      </w:r>
      <w:r w:rsidR="0083181F">
        <w:rPr>
          <w:rStyle w:val="Lbjegyzet-hivatkozs"/>
          <w:rFonts w:cs="Times New Roman"/>
          <w:szCs w:val="24"/>
        </w:rPr>
        <w:footnoteReference w:id="1"/>
      </w:r>
      <w:r w:rsidR="00BF3C8B" w:rsidRPr="002F3761">
        <w:rPr>
          <w:rFonts w:cs="Times New Roman"/>
          <w:szCs w:val="24"/>
        </w:rPr>
        <w:t xml:space="preserve"> </w:t>
      </w:r>
      <w:r w:rsidR="0083181F" w:rsidRPr="0083181F">
        <w:rPr>
          <w:rFonts w:cs="Times New Roman"/>
          <w:szCs w:val="24"/>
        </w:rPr>
        <w:t>míg más adatok szerint több mint 38%-a,</w:t>
      </w:r>
      <w:r w:rsidR="0083181F">
        <w:rPr>
          <w:rStyle w:val="Lbjegyzet-hivatkozs"/>
          <w:rFonts w:cs="Times New Roman"/>
          <w:szCs w:val="24"/>
        </w:rPr>
        <w:footnoteReference w:id="2"/>
      </w:r>
      <w:r w:rsidR="0083181F" w:rsidRPr="0083181F">
        <w:rPr>
          <w:rFonts w:cs="Times New Roman"/>
          <w:szCs w:val="24"/>
        </w:rPr>
        <w:t xml:space="preserve"> összesen legalább 164 millió ember él </w:t>
      </w:r>
      <w:r w:rsidRPr="002F3761">
        <w:rPr>
          <w:rFonts w:cs="Times New Roman"/>
          <w:szCs w:val="24"/>
        </w:rPr>
        <w:t>„ment</w:t>
      </w:r>
      <w:r w:rsidR="0083181F">
        <w:rPr>
          <w:rFonts w:cs="Times New Roman"/>
          <w:szCs w:val="24"/>
        </w:rPr>
        <w:t>ális rendellenességgel</w:t>
      </w:r>
      <w:r w:rsidR="006F0DF2">
        <w:rPr>
          <w:rFonts w:cs="Times New Roman"/>
          <w:szCs w:val="24"/>
        </w:rPr>
        <w:t>”</w:t>
      </w:r>
      <w:r w:rsidR="004E5B9A">
        <w:rPr>
          <w:rFonts w:cs="Times New Roman"/>
          <w:szCs w:val="24"/>
        </w:rPr>
        <w:t>.</w:t>
      </w:r>
      <w:r w:rsidRPr="002F3761">
        <w:rPr>
          <w:rStyle w:val="Lbjegyzet-hivatkozs"/>
          <w:rFonts w:cs="Times New Roman"/>
          <w:szCs w:val="24"/>
        </w:rPr>
        <w:footnoteReference w:id="3"/>
      </w:r>
      <w:r w:rsidRPr="002F3761">
        <w:rPr>
          <w:rFonts w:cs="Times New Roman"/>
          <w:szCs w:val="24"/>
        </w:rPr>
        <w:t xml:space="preserve"> Közülük sokakat beleegyezésük nélkül, akaratuk ellenére helyez</w:t>
      </w:r>
      <w:r w:rsidR="00F95428">
        <w:rPr>
          <w:rFonts w:cs="Times New Roman"/>
          <w:szCs w:val="24"/>
        </w:rPr>
        <w:t xml:space="preserve">nek </w:t>
      </w:r>
      <w:r w:rsidRPr="002F3761">
        <w:rPr>
          <w:rFonts w:cs="Times New Roman"/>
          <w:szCs w:val="24"/>
        </w:rPr>
        <w:t xml:space="preserve">el egészségügyi intézményben és </w:t>
      </w:r>
      <w:r w:rsidR="00BF3C8B" w:rsidRPr="002F3761">
        <w:rPr>
          <w:rFonts w:cs="Times New Roman"/>
          <w:szCs w:val="24"/>
        </w:rPr>
        <w:t xml:space="preserve">ott </w:t>
      </w:r>
      <w:r w:rsidRPr="002F3761">
        <w:rPr>
          <w:rFonts w:cs="Times New Roman"/>
          <w:szCs w:val="24"/>
        </w:rPr>
        <w:t>beleegyezésük nélkül, akaratuk ellenére kezelik őket.</w:t>
      </w:r>
      <w:r w:rsidR="00330B6F" w:rsidRPr="002F3761">
        <w:rPr>
          <w:rFonts w:cs="Times New Roman"/>
          <w:szCs w:val="24"/>
        </w:rPr>
        <w:t xml:space="preserve"> Míg egyesek úgy érvelnek, hogy ez helyes, hiszen ezeket az embereket meg kell védeni saját maguktól és óvni kell tőlük a társadalom tagjait, addig mások úgy látják, hogy </w:t>
      </w:r>
      <w:r w:rsidR="00F95428">
        <w:rPr>
          <w:rFonts w:cs="Times New Roman"/>
          <w:szCs w:val="24"/>
        </w:rPr>
        <w:t xml:space="preserve">ez a bánásmód </w:t>
      </w:r>
      <w:r w:rsidR="00BF3C8B" w:rsidRPr="002F3761">
        <w:rPr>
          <w:rFonts w:cs="Times New Roman"/>
          <w:szCs w:val="24"/>
        </w:rPr>
        <w:t xml:space="preserve">számtalan </w:t>
      </w:r>
      <w:r w:rsidR="00330B6F" w:rsidRPr="002F3761">
        <w:rPr>
          <w:rFonts w:cs="Times New Roman"/>
          <w:szCs w:val="24"/>
        </w:rPr>
        <w:t>emberi jogi sérelme</w:t>
      </w:r>
      <w:r w:rsidR="00BF3C8B" w:rsidRPr="002F3761">
        <w:rPr>
          <w:rFonts w:cs="Times New Roman"/>
          <w:szCs w:val="24"/>
        </w:rPr>
        <w:t>t eredményez</w:t>
      </w:r>
      <w:r w:rsidR="00330B6F" w:rsidRPr="002F3761">
        <w:rPr>
          <w:rFonts w:cs="Times New Roman"/>
          <w:szCs w:val="24"/>
        </w:rPr>
        <w:t>. Míg az egyik álláspont szerint a pszichiátriai intézményekben történő elhelyezés és kezelés olyan jogkorlátozásokkal jár, melyek megfelelnek a jogállami előírásoknak,</w:t>
      </w:r>
      <w:r w:rsidR="004345FD" w:rsidRPr="002F3761">
        <w:rPr>
          <w:rFonts w:cs="Times New Roman"/>
          <w:szCs w:val="24"/>
        </w:rPr>
        <w:t xml:space="preserve"> mivel</w:t>
      </w:r>
      <w:r w:rsidR="00330B6F" w:rsidRPr="002F3761">
        <w:rPr>
          <w:rFonts w:cs="Times New Roman"/>
          <w:szCs w:val="24"/>
        </w:rPr>
        <w:t xml:space="preserve"> azok szükségesek és arányosak, addig a másik álláspont szerint ezek a jogkorlátozások diszkriminatív</w:t>
      </w:r>
      <w:r w:rsidR="009E7FD0" w:rsidRPr="002F3761">
        <w:rPr>
          <w:rFonts w:cs="Times New Roman"/>
          <w:szCs w:val="24"/>
        </w:rPr>
        <w:t>ak</w:t>
      </w:r>
      <w:r w:rsidR="00330B6F" w:rsidRPr="002F3761">
        <w:rPr>
          <w:rFonts w:cs="Times New Roman"/>
          <w:szCs w:val="24"/>
        </w:rPr>
        <w:t xml:space="preserve"> és sem nem szükségesek, sem nem arányosak az elérni kívánt célhoz képest.</w:t>
      </w:r>
    </w:p>
    <w:p w14:paraId="1BD880A8" w14:textId="77777777" w:rsidR="00FE5FFB" w:rsidRDefault="00FE5FFB" w:rsidP="002F3761">
      <w:pPr>
        <w:rPr>
          <w:rFonts w:cs="Times New Roman"/>
          <w:szCs w:val="24"/>
        </w:rPr>
      </w:pPr>
    </w:p>
    <w:p w14:paraId="5BCC7902" w14:textId="77777777" w:rsidR="00295992" w:rsidRPr="002F3761" w:rsidRDefault="00330B6F" w:rsidP="002F3761">
      <w:pPr>
        <w:rPr>
          <w:rFonts w:cs="Times New Roman"/>
          <w:szCs w:val="24"/>
        </w:rPr>
      </w:pPr>
      <w:r w:rsidRPr="002F3761">
        <w:rPr>
          <w:rFonts w:cs="Times New Roman"/>
          <w:szCs w:val="24"/>
        </w:rPr>
        <w:t xml:space="preserve">Ez a tanulmány rá kíván mutatni egy-egy kulcsfogalom kibontását követően az érintett személyek </w:t>
      </w:r>
      <w:r w:rsidR="00F95428">
        <w:rPr>
          <w:rFonts w:cs="Times New Roman"/>
          <w:szCs w:val="24"/>
        </w:rPr>
        <w:t xml:space="preserve">– </w:t>
      </w:r>
      <w:r w:rsidR="004345FD" w:rsidRPr="002F3761">
        <w:rPr>
          <w:rFonts w:cs="Times New Roman"/>
          <w:szCs w:val="24"/>
        </w:rPr>
        <w:t>akaratuk ellenére történő pszichiátriai elhelyezés</w:t>
      </w:r>
      <w:r w:rsidR="009E7FD0" w:rsidRPr="002F3761">
        <w:rPr>
          <w:rFonts w:cs="Times New Roman"/>
          <w:szCs w:val="24"/>
        </w:rPr>
        <w:t>ükkel</w:t>
      </w:r>
      <w:r w:rsidR="004345FD" w:rsidRPr="002F3761">
        <w:rPr>
          <w:rFonts w:cs="Times New Roman"/>
          <w:szCs w:val="24"/>
        </w:rPr>
        <w:t xml:space="preserve"> és kezelés</w:t>
      </w:r>
      <w:r w:rsidR="009E7FD0" w:rsidRPr="002F3761">
        <w:rPr>
          <w:rFonts w:cs="Times New Roman"/>
          <w:szCs w:val="24"/>
        </w:rPr>
        <w:t>ükkel</w:t>
      </w:r>
      <w:r w:rsidR="004345FD" w:rsidRPr="002F3761">
        <w:rPr>
          <w:rFonts w:cs="Times New Roman"/>
          <w:szCs w:val="24"/>
        </w:rPr>
        <w:t xml:space="preserve"> kapcsolatos </w:t>
      </w:r>
      <w:r w:rsidR="00F95428">
        <w:rPr>
          <w:rFonts w:cs="Times New Roman"/>
          <w:szCs w:val="24"/>
        </w:rPr>
        <w:t xml:space="preserve">– </w:t>
      </w:r>
      <w:r w:rsidRPr="002F3761">
        <w:rPr>
          <w:rFonts w:cs="Times New Roman"/>
          <w:szCs w:val="24"/>
        </w:rPr>
        <w:t>megélt tapasztalataira, a nemzetközi instrumentumok által lefektetett irány</w:t>
      </w:r>
      <w:r w:rsidR="004345FD" w:rsidRPr="002F3761">
        <w:rPr>
          <w:rFonts w:cs="Times New Roman"/>
          <w:szCs w:val="24"/>
        </w:rPr>
        <w:t>okra, valamint alternatívákat és jó gyakorlatokat kíván bemutatni az elzárásra és a nem-önkéntes kezelésre alapuló megoldásoktól való eltérés érdekében.</w:t>
      </w:r>
    </w:p>
    <w:p w14:paraId="4E4B399C" w14:textId="77777777" w:rsidR="00295992" w:rsidRPr="002F3761" w:rsidRDefault="00295992" w:rsidP="002F3761">
      <w:pPr>
        <w:rPr>
          <w:rFonts w:cs="Times New Roman"/>
          <w:szCs w:val="24"/>
        </w:rPr>
      </w:pPr>
    </w:p>
    <w:p w14:paraId="36EE077D" w14:textId="5D39DC49" w:rsidR="00330B6F" w:rsidRDefault="00037C3C" w:rsidP="002F3761">
      <w:pPr>
        <w:rPr>
          <w:rFonts w:cs="Times New Roman"/>
          <w:szCs w:val="24"/>
        </w:rPr>
      </w:pPr>
      <w:r w:rsidRPr="002F3761">
        <w:rPr>
          <w:rFonts w:cs="Times New Roman"/>
          <w:szCs w:val="24"/>
        </w:rPr>
        <w:t xml:space="preserve">Habár számos országban, ideértve Magyarországot is, a pszichoszociális fogyatékossággal élő személyeket tartós szociális ellátást nyújtó intézményekben is elhelyezhetik akaratuk ellenére, e tanulmány elsősorban mégis a kórházi pszichiátriai osztályokon történő </w:t>
      </w:r>
      <w:r w:rsidR="00FD30B1" w:rsidRPr="002F3761">
        <w:rPr>
          <w:rFonts w:cs="Times New Roman"/>
          <w:szCs w:val="24"/>
        </w:rPr>
        <w:t xml:space="preserve">– a </w:t>
      </w:r>
      <w:r w:rsidR="004E5B9A">
        <w:rPr>
          <w:rFonts w:cs="Times New Roman"/>
          <w:szCs w:val="24"/>
        </w:rPr>
        <w:t>büntető jog terrénumát nem érintő</w:t>
      </w:r>
      <w:r w:rsidR="00FD30B1" w:rsidRPr="002F3761">
        <w:rPr>
          <w:rStyle w:val="Lbjegyzet-hivatkozs"/>
          <w:rFonts w:cs="Times New Roman"/>
          <w:szCs w:val="24"/>
        </w:rPr>
        <w:footnoteReference w:id="4"/>
      </w:r>
      <w:r w:rsidR="00FD30B1" w:rsidRPr="002F3761">
        <w:rPr>
          <w:rFonts w:cs="Times New Roman"/>
          <w:szCs w:val="24"/>
        </w:rPr>
        <w:t xml:space="preserve"> – n</w:t>
      </w:r>
      <w:r w:rsidRPr="002F3761">
        <w:rPr>
          <w:rFonts w:cs="Times New Roman"/>
          <w:szCs w:val="24"/>
        </w:rPr>
        <w:t>em-önkéntes elhelyezéseket és az ott</w:t>
      </w:r>
      <w:r w:rsidR="009E7FD0" w:rsidRPr="002F3761">
        <w:rPr>
          <w:rFonts w:cs="Times New Roman"/>
          <w:szCs w:val="24"/>
        </w:rPr>
        <w:t xml:space="preserve"> folyó </w:t>
      </w:r>
      <w:proofErr w:type="gramStart"/>
      <w:r w:rsidR="009E7FD0" w:rsidRPr="002F3761">
        <w:rPr>
          <w:rFonts w:cs="Times New Roman"/>
          <w:szCs w:val="24"/>
        </w:rPr>
        <w:t>nem-önkéntes kezeléseket</w:t>
      </w:r>
      <w:proofErr w:type="gramEnd"/>
      <w:r w:rsidR="009E7FD0" w:rsidRPr="002F3761">
        <w:rPr>
          <w:rFonts w:cs="Times New Roman"/>
          <w:szCs w:val="24"/>
        </w:rPr>
        <w:t xml:space="preserve">, </w:t>
      </w:r>
      <w:r w:rsidRPr="002F3761">
        <w:rPr>
          <w:rFonts w:cs="Times New Roman"/>
          <w:szCs w:val="24"/>
        </w:rPr>
        <w:t>valamint ezek kiváltására irányuló alternatívák bemutatását tekinti vizsgálata tárgyának.</w:t>
      </w:r>
      <w:r w:rsidR="00171D87" w:rsidRPr="002F3761">
        <w:rPr>
          <w:rFonts w:cs="Times New Roman"/>
          <w:szCs w:val="24"/>
        </w:rPr>
        <w:t xml:space="preserve"> Ezen alternatívák, természetesen, </w:t>
      </w:r>
      <w:r w:rsidRPr="002F3761">
        <w:rPr>
          <w:rFonts w:cs="Times New Roman"/>
          <w:szCs w:val="24"/>
        </w:rPr>
        <w:t>nem csak és kizárólag az egészségügy</w:t>
      </w:r>
      <w:r w:rsidR="00171D87" w:rsidRPr="002F3761">
        <w:rPr>
          <w:rFonts w:cs="Times New Roman"/>
          <w:szCs w:val="24"/>
        </w:rPr>
        <w:t>,</w:t>
      </w:r>
      <w:r w:rsidRPr="002F3761">
        <w:rPr>
          <w:rFonts w:cs="Times New Roman"/>
          <w:szCs w:val="24"/>
        </w:rPr>
        <w:t xml:space="preserve"> de a szociális szféra keretein belül is relevanciával bírnak.</w:t>
      </w:r>
    </w:p>
    <w:p w14:paraId="01020424" w14:textId="77777777" w:rsidR="006C4555" w:rsidRDefault="006C4555" w:rsidP="002F3761">
      <w:pPr>
        <w:rPr>
          <w:rFonts w:cs="Times New Roman"/>
          <w:szCs w:val="24"/>
        </w:rPr>
      </w:pPr>
    </w:p>
    <w:p w14:paraId="784E820A" w14:textId="77777777" w:rsidR="00476208" w:rsidRPr="000B427C" w:rsidRDefault="006770A0" w:rsidP="000B427C">
      <w:pPr>
        <w:pStyle w:val="Cmsor1"/>
        <w:rPr>
          <w:rFonts w:ascii="Times New Roman" w:hAnsi="Times New Roman" w:cs="Times New Roman"/>
          <w:color w:val="auto"/>
        </w:rPr>
      </w:pPr>
      <w:bookmarkStart w:id="5" w:name="_Toc451515095"/>
      <w:r w:rsidRPr="000B427C">
        <w:rPr>
          <w:rFonts w:ascii="Times New Roman" w:hAnsi="Times New Roman" w:cs="Times New Roman"/>
          <w:color w:val="auto"/>
        </w:rPr>
        <w:t xml:space="preserve">1. </w:t>
      </w:r>
      <w:r w:rsidR="00476208" w:rsidRPr="000B427C">
        <w:rPr>
          <w:rFonts w:ascii="Times New Roman" w:hAnsi="Times New Roman" w:cs="Times New Roman"/>
          <w:color w:val="auto"/>
        </w:rPr>
        <w:t>Fogalomtisztázás</w:t>
      </w:r>
      <w:bookmarkEnd w:id="5"/>
    </w:p>
    <w:p w14:paraId="76DFC3B9" w14:textId="77777777" w:rsidR="00476208" w:rsidRPr="002F3761" w:rsidRDefault="00476208" w:rsidP="002F3761">
      <w:pPr>
        <w:rPr>
          <w:rFonts w:cs="Times New Roman"/>
          <w:b/>
          <w:szCs w:val="24"/>
        </w:rPr>
      </w:pPr>
    </w:p>
    <w:p w14:paraId="0164876C" w14:textId="77777777" w:rsidR="00476208" w:rsidRPr="002F3761" w:rsidRDefault="0025325D" w:rsidP="002F3761">
      <w:pPr>
        <w:rPr>
          <w:rFonts w:cs="Times New Roman"/>
          <w:szCs w:val="24"/>
        </w:rPr>
      </w:pPr>
      <w:r w:rsidRPr="002F3761">
        <w:rPr>
          <w:rFonts w:cs="Times New Roman"/>
          <w:szCs w:val="24"/>
        </w:rPr>
        <w:t>Mivel egyes alapfogalmak rövid bemutatása elengedhetetlen ahhoz, hogy e</w:t>
      </w:r>
      <w:r w:rsidR="00476208" w:rsidRPr="002F3761">
        <w:rPr>
          <w:rFonts w:cs="Times New Roman"/>
          <w:szCs w:val="24"/>
        </w:rPr>
        <w:t xml:space="preserve"> tanulmány elemzései, felvetései, megállapításai és következtetései</w:t>
      </w:r>
      <w:r w:rsidRPr="002F3761">
        <w:rPr>
          <w:rFonts w:cs="Times New Roman"/>
          <w:szCs w:val="24"/>
        </w:rPr>
        <w:t xml:space="preserve"> egy összefüggő keretben kerüljenek elhelyezésre, valamint hogy minden tekintetben helytállóak legyenek, </w:t>
      </w:r>
      <w:r w:rsidR="005A7053" w:rsidRPr="002F3761">
        <w:rPr>
          <w:rFonts w:cs="Times New Roman"/>
          <w:szCs w:val="24"/>
        </w:rPr>
        <w:t xml:space="preserve">definiálni </w:t>
      </w:r>
      <w:r w:rsidRPr="002F3761">
        <w:rPr>
          <w:rFonts w:cs="Times New Roman"/>
          <w:szCs w:val="24"/>
        </w:rPr>
        <w:t xml:space="preserve">szükséges a következő </w:t>
      </w:r>
      <w:r w:rsidR="005A7053" w:rsidRPr="002F3761">
        <w:rPr>
          <w:rFonts w:cs="Times New Roman"/>
          <w:szCs w:val="24"/>
        </w:rPr>
        <w:t>elemeket:</w:t>
      </w:r>
    </w:p>
    <w:p w14:paraId="08ABED6A" w14:textId="77777777" w:rsidR="005A7053" w:rsidRPr="002F3761" w:rsidRDefault="009E7FD0" w:rsidP="002F3761">
      <w:pPr>
        <w:pStyle w:val="Listaszerbekezds"/>
        <w:numPr>
          <w:ilvl w:val="0"/>
          <w:numId w:val="2"/>
        </w:numPr>
        <w:rPr>
          <w:rFonts w:cs="Times New Roman"/>
          <w:szCs w:val="24"/>
        </w:rPr>
      </w:pPr>
      <w:r w:rsidRPr="002F3761">
        <w:rPr>
          <w:rFonts w:cs="Times New Roman"/>
          <w:szCs w:val="24"/>
        </w:rPr>
        <w:t>nem-önkéntes</w:t>
      </w:r>
      <w:r w:rsidR="005A7053" w:rsidRPr="002F3761">
        <w:rPr>
          <w:rFonts w:cs="Times New Roman"/>
          <w:szCs w:val="24"/>
        </w:rPr>
        <w:t xml:space="preserve"> intézeti elhelyezés</w:t>
      </w:r>
      <w:r w:rsidR="0028174B" w:rsidRPr="002F3761">
        <w:rPr>
          <w:rFonts w:cs="Times New Roman"/>
          <w:szCs w:val="24"/>
        </w:rPr>
        <w:t xml:space="preserve"> és </w:t>
      </w:r>
      <w:r w:rsidRPr="002F3761">
        <w:rPr>
          <w:rFonts w:cs="Times New Roman"/>
          <w:szCs w:val="24"/>
        </w:rPr>
        <w:t>nem-önkéntes</w:t>
      </w:r>
      <w:r w:rsidR="005A7053" w:rsidRPr="002F3761">
        <w:rPr>
          <w:rFonts w:cs="Times New Roman"/>
          <w:szCs w:val="24"/>
        </w:rPr>
        <w:t xml:space="preserve"> gyógykezelés</w:t>
      </w:r>
    </w:p>
    <w:p w14:paraId="46BFB14F" w14:textId="77777777" w:rsidR="005A7053" w:rsidRPr="002F3761" w:rsidRDefault="005A7053" w:rsidP="002F3761">
      <w:pPr>
        <w:pStyle w:val="Listaszerbekezds"/>
        <w:numPr>
          <w:ilvl w:val="0"/>
          <w:numId w:val="2"/>
        </w:numPr>
        <w:rPr>
          <w:rFonts w:cs="Times New Roman"/>
          <w:szCs w:val="24"/>
        </w:rPr>
      </w:pPr>
      <w:r w:rsidRPr="002F3761">
        <w:rPr>
          <w:rFonts w:cs="Times New Roman"/>
          <w:szCs w:val="24"/>
        </w:rPr>
        <w:t>pszichoszociális fogyatékosság</w:t>
      </w:r>
      <w:r w:rsidR="009E7FD0" w:rsidRPr="002F3761">
        <w:rPr>
          <w:rFonts w:cs="Times New Roman"/>
          <w:szCs w:val="24"/>
        </w:rPr>
        <w:t>, pszichiátriai betegség</w:t>
      </w:r>
    </w:p>
    <w:p w14:paraId="4301F2B6" w14:textId="77777777" w:rsidR="005A7053" w:rsidRPr="002F3761" w:rsidRDefault="005A7053" w:rsidP="002F3761">
      <w:pPr>
        <w:pStyle w:val="Listaszerbekezds"/>
        <w:numPr>
          <w:ilvl w:val="0"/>
          <w:numId w:val="2"/>
        </w:numPr>
        <w:rPr>
          <w:rFonts w:cs="Times New Roman"/>
          <w:szCs w:val="24"/>
        </w:rPr>
      </w:pPr>
      <w:r w:rsidRPr="002F3761">
        <w:rPr>
          <w:rFonts w:cs="Times New Roman"/>
          <w:szCs w:val="24"/>
        </w:rPr>
        <w:t>emberi jogi paradigma</w:t>
      </w:r>
    </w:p>
    <w:p w14:paraId="3CC90B88" w14:textId="77777777" w:rsidR="009E7FD0" w:rsidRPr="002F3761" w:rsidRDefault="009E7FD0" w:rsidP="002F3761">
      <w:pPr>
        <w:rPr>
          <w:rFonts w:cs="Times New Roman"/>
          <w:szCs w:val="24"/>
        </w:rPr>
      </w:pPr>
    </w:p>
    <w:p w14:paraId="07CC2AF7" w14:textId="3C2EEE16" w:rsidR="00476208" w:rsidRPr="000B427C" w:rsidRDefault="0033087A" w:rsidP="000B427C">
      <w:pPr>
        <w:pStyle w:val="Cmsor2"/>
        <w:rPr>
          <w:rFonts w:ascii="Times New Roman" w:hAnsi="Times New Roman" w:cs="Times New Roman"/>
          <w:color w:val="auto"/>
        </w:rPr>
      </w:pPr>
      <w:bookmarkStart w:id="6" w:name="_Toc451515096"/>
      <w:r w:rsidRPr="000B427C">
        <w:rPr>
          <w:rFonts w:ascii="Times New Roman" w:hAnsi="Times New Roman" w:cs="Times New Roman"/>
          <w:color w:val="auto"/>
        </w:rPr>
        <w:t>1.1</w:t>
      </w:r>
      <w:r w:rsidR="00CF4E97" w:rsidRPr="000B427C">
        <w:rPr>
          <w:rFonts w:ascii="Times New Roman" w:hAnsi="Times New Roman" w:cs="Times New Roman"/>
          <w:color w:val="auto"/>
        </w:rPr>
        <w:t xml:space="preserve">. </w:t>
      </w:r>
      <w:r w:rsidR="009E7FD0" w:rsidRPr="000B427C">
        <w:rPr>
          <w:rFonts w:ascii="Times New Roman" w:hAnsi="Times New Roman" w:cs="Times New Roman"/>
          <w:color w:val="auto"/>
        </w:rPr>
        <w:t>Nem-önkéntes</w:t>
      </w:r>
      <w:r w:rsidR="005A7053" w:rsidRPr="000B427C">
        <w:rPr>
          <w:rFonts w:ascii="Times New Roman" w:hAnsi="Times New Roman" w:cs="Times New Roman"/>
          <w:color w:val="auto"/>
        </w:rPr>
        <w:t xml:space="preserve"> intézeti elhelyezés</w:t>
      </w:r>
      <w:r w:rsidR="00170BCF" w:rsidRPr="000B427C">
        <w:rPr>
          <w:rFonts w:ascii="Times New Roman" w:hAnsi="Times New Roman" w:cs="Times New Roman"/>
          <w:color w:val="auto"/>
        </w:rPr>
        <w:t xml:space="preserve"> és </w:t>
      </w:r>
      <w:proofErr w:type="gramStart"/>
      <w:r w:rsidR="009E7FD0" w:rsidRPr="000B427C">
        <w:rPr>
          <w:rFonts w:ascii="Times New Roman" w:hAnsi="Times New Roman" w:cs="Times New Roman"/>
          <w:color w:val="auto"/>
        </w:rPr>
        <w:t>nem-önkéntes</w:t>
      </w:r>
      <w:r w:rsidR="00170BCF" w:rsidRPr="000B427C">
        <w:rPr>
          <w:rFonts w:ascii="Times New Roman" w:hAnsi="Times New Roman" w:cs="Times New Roman"/>
          <w:color w:val="auto"/>
        </w:rPr>
        <w:t xml:space="preserve"> gyógykezelés</w:t>
      </w:r>
      <w:bookmarkEnd w:id="6"/>
      <w:proofErr w:type="gramEnd"/>
    </w:p>
    <w:p w14:paraId="3E98EEF1" w14:textId="77777777" w:rsidR="00AF3438" w:rsidRPr="002F3761" w:rsidRDefault="00AF3438" w:rsidP="002F3761">
      <w:pPr>
        <w:rPr>
          <w:rFonts w:cs="Times New Roman"/>
          <w:bCs/>
          <w:szCs w:val="24"/>
        </w:rPr>
      </w:pPr>
    </w:p>
    <w:p w14:paraId="0C1369A6" w14:textId="77777777" w:rsidR="0028174B" w:rsidRPr="002F3761" w:rsidRDefault="00170BCF" w:rsidP="002F3761">
      <w:pPr>
        <w:rPr>
          <w:rFonts w:cs="Times New Roman"/>
          <w:bCs/>
          <w:szCs w:val="24"/>
        </w:rPr>
      </w:pPr>
      <w:r w:rsidRPr="002F3761">
        <w:rPr>
          <w:rFonts w:cs="Times New Roman"/>
          <w:bCs/>
          <w:szCs w:val="24"/>
        </w:rPr>
        <w:t xml:space="preserve">A </w:t>
      </w:r>
      <w:r w:rsidR="009E7FD0" w:rsidRPr="002F3761">
        <w:rPr>
          <w:rFonts w:cs="Times New Roman"/>
          <w:bCs/>
          <w:szCs w:val="24"/>
        </w:rPr>
        <w:t>nem-önkéntes</w:t>
      </w:r>
      <w:r w:rsidRPr="002F3761">
        <w:rPr>
          <w:rFonts w:cs="Times New Roman"/>
          <w:bCs/>
          <w:szCs w:val="24"/>
        </w:rPr>
        <w:t xml:space="preserve"> intézeti elhelyezésnek és a </w:t>
      </w:r>
      <w:r w:rsidR="009E7FD0" w:rsidRPr="002F3761">
        <w:rPr>
          <w:rFonts w:cs="Times New Roman"/>
          <w:bCs/>
          <w:szCs w:val="24"/>
        </w:rPr>
        <w:t xml:space="preserve">nem-önkéntes </w:t>
      </w:r>
      <w:r w:rsidRPr="002F3761">
        <w:rPr>
          <w:rFonts w:cs="Times New Roman"/>
          <w:bCs/>
          <w:szCs w:val="24"/>
        </w:rPr>
        <w:t>kezelésnek nem létezik nemzetközileg elfogadott definíciója.</w:t>
      </w:r>
      <w:r w:rsidRPr="002F3761">
        <w:rPr>
          <w:rStyle w:val="Lbjegyzet-hivatkozs"/>
          <w:rFonts w:cs="Times New Roman"/>
          <w:bCs/>
          <w:szCs w:val="24"/>
        </w:rPr>
        <w:footnoteReference w:id="5"/>
      </w:r>
      <w:r w:rsidRPr="002F3761">
        <w:rPr>
          <w:rFonts w:cs="Times New Roman"/>
          <w:bCs/>
          <w:szCs w:val="24"/>
        </w:rPr>
        <w:t xml:space="preserve"> </w:t>
      </w:r>
      <w:r w:rsidR="009E7FD0" w:rsidRPr="002F3761">
        <w:rPr>
          <w:rFonts w:cs="Times New Roman"/>
          <w:bCs/>
          <w:szCs w:val="24"/>
        </w:rPr>
        <w:t>Magyarországon a</w:t>
      </w:r>
      <w:r w:rsidRPr="002F3761">
        <w:rPr>
          <w:rFonts w:cs="Times New Roman"/>
          <w:bCs/>
          <w:szCs w:val="24"/>
        </w:rPr>
        <w:t xml:space="preserve">z </w:t>
      </w:r>
      <w:r w:rsidR="00E7710A" w:rsidRPr="002F3761">
        <w:rPr>
          <w:rFonts w:cs="Times New Roman"/>
          <w:bCs/>
          <w:szCs w:val="24"/>
        </w:rPr>
        <w:t>egészségügyről</w:t>
      </w:r>
      <w:r w:rsidR="0028174B" w:rsidRPr="002F3761">
        <w:rPr>
          <w:rFonts w:cs="Times New Roman"/>
          <w:bCs/>
          <w:szCs w:val="24"/>
        </w:rPr>
        <w:t xml:space="preserve"> szóló 1997. évi CLIV. törvény (</w:t>
      </w:r>
      <w:r w:rsidR="009E7FD0" w:rsidRPr="002F3761">
        <w:rPr>
          <w:rFonts w:cs="Times New Roman"/>
          <w:bCs/>
          <w:szCs w:val="24"/>
        </w:rPr>
        <w:t xml:space="preserve">a továbbiakban: </w:t>
      </w:r>
      <w:r w:rsidR="0028174B" w:rsidRPr="002F3761">
        <w:rPr>
          <w:rFonts w:cs="Times New Roman"/>
          <w:bCs/>
          <w:szCs w:val="24"/>
        </w:rPr>
        <w:t>Eütv.) szerint a pszichiátriai betegek intézeti gyógykezelésbe vételének 3 típusát a következők képezik:</w:t>
      </w:r>
    </w:p>
    <w:p w14:paraId="5FC8AD77" w14:textId="77777777" w:rsidR="0028174B" w:rsidRPr="002F3761" w:rsidRDefault="0028174B" w:rsidP="002F3761">
      <w:pPr>
        <w:pStyle w:val="Listaszerbekezds"/>
        <w:numPr>
          <w:ilvl w:val="0"/>
          <w:numId w:val="3"/>
        </w:numPr>
        <w:rPr>
          <w:rFonts w:cs="Times New Roman"/>
          <w:bCs/>
          <w:szCs w:val="24"/>
        </w:rPr>
      </w:pPr>
      <w:r w:rsidRPr="002F3761">
        <w:rPr>
          <w:rFonts w:cs="Times New Roman"/>
          <w:bCs/>
          <w:szCs w:val="24"/>
        </w:rPr>
        <w:t>önkéntes gyógykezelés;</w:t>
      </w:r>
    </w:p>
    <w:p w14:paraId="30B395DC" w14:textId="77777777" w:rsidR="0028174B" w:rsidRPr="002F3761" w:rsidRDefault="0028174B" w:rsidP="002F3761">
      <w:pPr>
        <w:pStyle w:val="Listaszerbekezds"/>
        <w:numPr>
          <w:ilvl w:val="0"/>
          <w:numId w:val="3"/>
        </w:numPr>
        <w:rPr>
          <w:rFonts w:cs="Times New Roman"/>
          <w:bCs/>
          <w:szCs w:val="24"/>
        </w:rPr>
      </w:pPr>
      <w:r w:rsidRPr="002F3761">
        <w:rPr>
          <w:rFonts w:cs="Times New Roman"/>
          <w:bCs/>
          <w:szCs w:val="24"/>
        </w:rPr>
        <w:t>sürgősségi gyógykezelés;</w:t>
      </w:r>
    </w:p>
    <w:p w14:paraId="7488D469" w14:textId="77777777" w:rsidR="0028174B" w:rsidRPr="002F3761" w:rsidRDefault="0028174B" w:rsidP="002F3761">
      <w:pPr>
        <w:pStyle w:val="Listaszerbekezds"/>
        <w:numPr>
          <w:ilvl w:val="0"/>
          <w:numId w:val="3"/>
        </w:numPr>
        <w:rPr>
          <w:rFonts w:cs="Times New Roman"/>
          <w:bCs/>
          <w:szCs w:val="24"/>
        </w:rPr>
      </w:pPr>
      <w:r w:rsidRPr="002F3761">
        <w:rPr>
          <w:rFonts w:cs="Times New Roman"/>
          <w:bCs/>
          <w:szCs w:val="24"/>
        </w:rPr>
        <w:t>kötelező gyógykezelés.</w:t>
      </w:r>
    </w:p>
    <w:p w14:paraId="4049C8E4" w14:textId="77777777" w:rsidR="0028174B" w:rsidRPr="002F3761" w:rsidRDefault="0028174B" w:rsidP="002F3761">
      <w:pPr>
        <w:rPr>
          <w:rFonts w:cs="Times New Roman"/>
          <w:bCs/>
          <w:szCs w:val="24"/>
        </w:rPr>
      </w:pPr>
    </w:p>
    <w:p w14:paraId="69AC9955" w14:textId="65A80F57" w:rsidR="006770A0" w:rsidRPr="000B427C" w:rsidRDefault="0033087A" w:rsidP="000B427C">
      <w:pPr>
        <w:pStyle w:val="Cmsor3"/>
        <w:rPr>
          <w:rFonts w:ascii="Times New Roman" w:hAnsi="Times New Roman" w:cs="Times New Roman"/>
          <w:color w:val="auto"/>
        </w:rPr>
      </w:pPr>
      <w:bookmarkStart w:id="7" w:name="_Toc451515097"/>
      <w:r w:rsidRPr="000B427C">
        <w:rPr>
          <w:rFonts w:ascii="Times New Roman" w:hAnsi="Times New Roman" w:cs="Times New Roman"/>
          <w:color w:val="auto"/>
        </w:rPr>
        <w:t>1.1.1.</w:t>
      </w:r>
      <w:r w:rsidR="009E7FD0" w:rsidRPr="000B427C">
        <w:rPr>
          <w:rFonts w:ascii="Times New Roman" w:hAnsi="Times New Roman" w:cs="Times New Roman"/>
          <w:color w:val="auto"/>
        </w:rPr>
        <w:t xml:space="preserve"> </w:t>
      </w:r>
      <w:r w:rsidR="006770A0" w:rsidRPr="000B427C">
        <w:rPr>
          <w:rFonts w:ascii="Times New Roman" w:hAnsi="Times New Roman" w:cs="Times New Roman"/>
          <w:color w:val="auto"/>
        </w:rPr>
        <w:t>Önkéntes gyógykezelés</w:t>
      </w:r>
      <w:bookmarkEnd w:id="7"/>
    </w:p>
    <w:p w14:paraId="1D834F29" w14:textId="77777777" w:rsidR="009E7FD0" w:rsidRPr="002F3761" w:rsidRDefault="009E7FD0" w:rsidP="002F3761">
      <w:pPr>
        <w:rPr>
          <w:rFonts w:cs="Times New Roman"/>
          <w:bCs/>
          <w:szCs w:val="24"/>
        </w:rPr>
      </w:pPr>
    </w:p>
    <w:p w14:paraId="5180A658" w14:textId="77777777" w:rsidR="00203D9D" w:rsidRPr="002F3761" w:rsidRDefault="009E7FD0" w:rsidP="002F3761">
      <w:pPr>
        <w:rPr>
          <w:rFonts w:cs="Times New Roman"/>
          <w:bCs/>
          <w:szCs w:val="24"/>
        </w:rPr>
      </w:pPr>
      <w:r w:rsidRPr="002F3761">
        <w:rPr>
          <w:rFonts w:cs="Times New Roman"/>
          <w:bCs/>
          <w:szCs w:val="24"/>
        </w:rPr>
        <w:t>A</w:t>
      </w:r>
      <w:r w:rsidR="00203D9D" w:rsidRPr="002F3761">
        <w:rPr>
          <w:rFonts w:cs="Times New Roman"/>
          <w:bCs/>
          <w:szCs w:val="24"/>
        </w:rPr>
        <w:t xml:space="preserve">z </w:t>
      </w:r>
      <w:r w:rsidR="00203D9D" w:rsidRPr="002F3761">
        <w:rPr>
          <w:rFonts w:cs="Times New Roman"/>
          <w:bCs/>
          <w:i/>
          <w:szCs w:val="24"/>
        </w:rPr>
        <w:t>önkéntes gyógykezelésre</w:t>
      </w:r>
      <w:r w:rsidR="00203D9D" w:rsidRPr="002F3761">
        <w:rPr>
          <w:rFonts w:cs="Times New Roman"/>
          <w:bCs/>
          <w:szCs w:val="24"/>
        </w:rPr>
        <w:t xml:space="preserve"> nem csak és kizárólag a beteg beleegyezésével kerülhet sor, hanem amennyiben a beteg cselekvőképtelen, akkor </w:t>
      </w:r>
      <w:r w:rsidRPr="002F3761">
        <w:rPr>
          <w:rFonts w:cs="Times New Roman"/>
          <w:bCs/>
          <w:szCs w:val="24"/>
        </w:rPr>
        <w:t xml:space="preserve">megtörténhet </w:t>
      </w:r>
      <w:r w:rsidR="00203D9D" w:rsidRPr="002F3761">
        <w:rPr>
          <w:rFonts w:cs="Times New Roman"/>
          <w:bCs/>
          <w:szCs w:val="24"/>
        </w:rPr>
        <w:t>az alábbi személyek kérelme alapján is:</w:t>
      </w:r>
      <w:r w:rsidR="000732FD" w:rsidRPr="002F3761">
        <w:rPr>
          <w:rStyle w:val="Lbjegyzet-hivatkozs"/>
          <w:rFonts w:cs="Times New Roman"/>
          <w:bCs/>
          <w:szCs w:val="24"/>
        </w:rPr>
        <w:footnoteReference w:id="6"/>
      </w:r>
      <w:r w:rsidR="006770A0" w:rsidRPr="002F3761">
        <w:rPr>
          <w:rFonts w:cs="Times New Roman"/>
          <w:bCs/>
          <w:szCs w:val="24"/>
        </w:rPr>
        <w:t xml:space="preserve"> </w:t>
      </w:r>
      <w:r w:rsidR="00203D9D" w:rsidRPr="002F3761">
        <w:rPr>
          <w:rFonts w:cs="Times New Roman"/>
          <w:bCs/>
          <w:szCs w:val="24"/>
        </w:rPr>
        <w:t>a beteg törvényes képvis</w:t>
      </w:r>
      <w:r w:rsidR="006770A0" w:rsidRPr="002F3761">
        <w:rPr>
          <w:rFonts w:cs="Times New Roman"/>
          <w:bCs/>
          <w:szCs w:val="24"/>
        </w:rPr>
        <w:t xml:space="preserve">elője; </w:t>
      </w:r>
      <w:r w:rsidR="00203D9D" w:rsidRPr="002F3761">
        <w:rPr>
          <w:rFonts w:cs="Times New Roman"/>
          <w:bCs/>
          <w:szCs w:val="24"/>
        </w:rPr>
        <w:t>a beteggel közös háztartásban élő, cselekvőképes</w:t>
      </w:r>
      <w:r w:rsidR="00203D9D" w:rsidRPr="002F3761">
        <w:rPr>
          <w:rFonts w:cs="Times New Roman"/>
          <w:bCs/>
          <w:iCs/>
          <w:szCs w:val="24"/>
        </w:rPr>
        <w:t xml:space="preserve"> </w:t>
      </w:r>
      <w:r w:rsidR="00BF5B74" w:rsidRPr="002F3761">
        <w:rPr>
          <w:rFonts w:cs="Times New Roman"/>
          <w:bCs/>
          <w:szCs w:val="24"/>
        </w:rPr>
        <w:t xml:space="preserve">házastársa vagy élettársa; a beteg cselekvőképes </w:t>
      </w:r>
      <w:r w:rsidR="00203D9D" w:rsidRPr="002F3761">
        <w:rPr>
          <w:rFonts w:cs="Times New Roman"/>
          <w:bCs/>
          <w:szCs w:val="24"/>
        </w:rPr>
        <w:t>gyermeke,</w:t>
      </w:r>
      <w:r w:rsidR="00203D9D" w:rsidRPr="002F3761">
        <w:rPr>
          <w:rFonts w:cs="Times New Roman"/>
          <w:bCs/>
          <w:iCs/>
          <w:szCs w:val="24"/>
        </w:rPr>
        <w:t xml:space="preserve"> </w:t>
      </w:r>
      <w:r w:rsidR="00203D9D" w:rsidRPr="002F3761">
        <w:rPr>
          <w:rFonts w:cs="Times New Roman"/>
          <w:bCs/>
          <w:szCs w:val="24"/>
        </w:rPr>
        <w:t>szülője,</w:t>
      </w:r>
      <w:r w:rsidR="00203D9D" w:rsidRPr="002F3761">
        <w:rPr>
          <w:rFonts w:cs="Times New Roman"/>
          <w:bCs/>
          <w:iCs/>
          <w:szCs w:val="24"/>
        </w:rPr>
        <w:t xml:space="preserve"> </w:t>
      </w:r>
      <w:r w:rsidR="00203D9D" w:rsidRPr="002F3761">
        <w:rPr>
          <w:rFonts w:cs="Times New Roman"/>
          <w:bCs/>
          <w:szCs w:val="24"/>
        </w:rPr>
        <w:t>testvére,</w:t>
      </w:r>
      <w:r w:rsidR="00203D9D" w:rsidRPr="002F3761">
        <w:rPr>
          <w:rFonts w:cs="Times New Roman"/>
          <w:bCs/>
          <w:iCs/>
          <w:szCs w:val="24"/>
        </w:rPr>
        <w:t xml:space="preserve"> </w:t>
      </w:r>
      <w:r w:rsidR="00203D9D" w:rsidRPr="002F3761">
        <w:rPr>
          <w:rFonts w:cs="Times New Roman"/>
          <w:bCs/>
          <w:szCs w:val="24"/>
        </w:rPr>
        <w:t>nagyszülője,</w:t>
      </w:r>
      <w:r w:rsidR="00203D9D" w:rsidRPr="002F3761">
        <w:rPr>
          <w:rFonts w:cs="Times New Roman"/>
          <w:bCs/>
          <w:iCs/>
          <w:szCs w:val="24"/>
        </w:rPr>
        <w:t xml:space="preserve"> </w:t>
      </w:r>
      <w:r w:rsidR="00BF5B74" w:rsidRPr="002F3761">
        <w:rPr>
          <w:rFonts w:cs="Times New Roman"/>
          <w:bCs/>
          <w:szCs w:val="24"/>
        </w:rPr>
        <w:t>unokája</w:t>
      </w:r>
      <w:r w:rsidR="00203D9D" w:rsidRPr="002F3761">
        <w:rPr>
          <w:rFonts w:cs="Times New Roman"/>
          <w:bCs/>
          <w:szCs w:val="24"/>
        </w:rPr>
        <w:t>.</w:t>
      </w:r>
      <w:r w:rsidR="000732FD" w:rsidRPr="002F3761">
        <w:rPr>
          <w:rStyle w:val="Lbjegyzet-hivatkozs"/>
          <w:rFonts w:cs="Times New Roman"/>
          <w:bCs/>
          <w:szCs w:val="24"/>
        </w:rPr>
        <w:footnoteReference w:id="7"/>
      </w:r>
    </w:p>
    <w:p w14:paraId="4F7A5EA0" w14:textId="77777777" w:rsidR="00203D9D" w:rsidRPr="002F3761" w:rsidRDefault="00203D9D" w:rsidP="002F3761">
      <w:pPr>
        <w:rPr>
          <w:rFonts w:cs="Times New Roman"/>
          <w:bCs/>
          <w:szCs w:val="24"/>
        </w:rPr>
      </w:pPr>
    </w:p>
    <w:p w14:paraId="248D061B" w14:textId="71EA41CC" w:rsidR="000732FD" w:rsidRPr="000B427C" w:rsidRDefault="0033087A" w:rsidP="000B427C">
      <w:pPr>
        <w:pStyle w:val="Cmsor3"/>
        <w:rPr>
          <w:rFonts w:ascii="Times New Roman" w:hAnsi="Times New Roman" w:cs="Times New Roman"/>
          <w:color w:val="auto"/>
        </w:rPr>
      </w:pPr>
      <w:bookmarkStart w:id="8" w:name="_Toc451515098"/>
      <w:r w:rsidRPr="000B427C">
        <w:rPr>
          <w:rFonts w:ascii="Times New Roman" w:hAnsi="Times New Roman" w:cs="Times New Roman"/>
          <w:color w:val="auto"/>
        </w:rPr>
        <w:t>1.1.2.</w:t>
      </w:r>
      <w:r w:rsidR="00293387" w:rsidRPr="000B427C">
        <w:rPr>
          <w:rFonts w:ascii="Times New Roman" w:hAnsi="Times New Roman" w:cs="Times New Roman"/>
          <w:color w:val="auto"/>
        </w:rPr>
        <w:t xml:space="preserve"> </w:t>
      </w:r>
      <w:r w:rsidR="006770A0" w:rsidRPr="000B427C">
        <w:rPr>
          <w:rFonts w:ascii="Times New Roman" w:hAnsi="Times New Roman" w:cs="Times New Roman"/>
          <w:color w:val="auto"/>
        </w:rPr>
        <w:t>Sürgősségi gyógykezelés</w:t>
      </w:r>
      <w:bookmarkEnd w:id="8"/>
    </w:p>
    <w:p w14:paraId="512FF573" w14:textId="77777777" w:rsidR="006770A0" w:rsidRPr="002F3761" w:rsidRDefault="006770A0" w:rsidP="002F3761">
      <w:pPr>
        <w:rPr>
          <w:rFonts w:cs="Times New Roman"/>
          <w:bCs/>
          <w:szCs w:val="24"/>
        </w:rPr>
      </w:pPr>
    </w:p>
    <w:p w14:paraId="37E82D18" w14:textId="078FC2CD" w:rsidR="00273D62" w:rsidRPr="002F3761" w:rsidRDefault="000732FD" w:rsidP="002F3761">
      <w:pPr>
        <w:rPr>
          <w:rFonts w:cs="Times New Roman"/>
          <w:bCs/>
          <w:iCs/>
          <w:szCs w:val="24"/>
        </w:rPr>
      </w:pPr>
      <w:r w:rsidRPr="002F3761">
        <w:rPr>
          <w:rFonts w:cs="Times New Roman"/>
          <w:bCs/>
          <w:i/>
          <w:szCs w:val="24"/>
        </w:rPr>
        <w:t>Sürgősségi gyógykezelésre</w:t>
      </w:r>
      <w:r w:rsidRPr="002F3761">
        <w:rPr>
          <w:rFonts w:cs="Times New Roman"/>
          <w:bCs/>
          <w:szCs w:val="24"/>
        </w:rPr>
        <w:t xml:space="preserve"> az azonnali intézeti gyógykezelést szükségessé tevő </w:t>
      </w:r>
      <w:r w:rsidRPr="00112DD5">
        <w:rPr>
          <w:rFonts w:cs="Times New Roman"/>
          <w:bCs/>
          <w:i/>
          <w:szCs w:val="24"/>
        </w:rPr>
        <w:t>közvetlen veszélyeztető magatartás</w:t>
      </w:r>
      <w:r w:rsidRPr="002F3761">
        <w:rPr>
          <w:rFonts w:cs="Times New Roman"/>
          <w:bCs/>
          <w:szCs w:val="24"/>
        </w:rPr>
        <w:t xml:space="preserve"> esetén, az azt észlelő orvos intézkedése alapján kerülhet sor.</w:t>
      </w:r>
      <w:r w:rsidRPr="002F3761">
        <w:rPr>
          <w:rStyle w:val="Lbjegyzet-hivatkozs"/>
          <w:rFonts w:cs="Times New Roman"/>
          <w:bCs/>
          <w:szCs w:val="24"/>
        </w:rPr>
        <w:footnoteReference w:id="8"/>
      </w:r>
      <w:r w:rsidR="00273D62" w:rsidRPr="002F3761">
        <w:rPr>
          <w:rFonts w:cs="Times New Roman"/>
          <w:bCs/>
          <w:szCs w:val="24"/>
        </w:rPr>
        <w:t xml:space="preserve"> </w:t>
      </w:r>
      <w:r w:rsidR="00112DD5">
        <w:rPr>
          <w:rFonts w:cs="Times New Roman"/>
          <w:bCs/>
          <w:szCs w:val="24"/>
        </w:rPr>
        <w:t>A beteg beszállításánál, szükség esetén, rendőri közreműködés is igénybe vehető.</w:t>
      </w:r>
      <w:r w:rsidR="00112DD5">
        <w:rPr>
          <w:rStyle w:val="Lbjegyzet-hivatkozs"/>
          <w:rFonts w:cs="Times New Roman"/>
          <w:bCs/>
          <w:szCs w:val="24"/>
        </w:rPr>
        <w:footnoteReference w:id="9"/>
      </w:r>
      <w:r w:rsidR="00112DD5">
        <w:rPr>
          <w:rFonts w:cs="Times New Roman"/>
          <w:bCs/>
          <w:szCs w:val="24"/>
        </w:rPr>
        <w:t xml:space="preserve"> </w:t>
      </w:r>
      <w:r w:rsidR="00273D62" w:rsidRPr="002F3761">
        <w:rPr>
          <w:rFonts w:cs="Times New Roman"/>
          <w:bCs/>
          <w:szCs w:val="24"/>
        </w:rPr>
        <w:t xml:space="preserve">Az Eütv. értelmében </w:t>
      </w:r>
      <w:r w:rsidR="00273D62" w:rsidRPr="002F3761">
        <w:rPr>
          <w:rFonts w:cs="Times New Roman"/>
          <w:bCs/>
          <w:iCs/>
          <w:szCs w:val="24"/>
        </w:rPr>
        <w:t>közvetlen veszélyeztető magatartás:</w:t>
      </w:r>
    </w:p>
    <w:p w14:paraId="6116D645" w14:textId="77777777" w:rsidR="00DC0F63" w:rsidRPr="002F3761" w:rsidRDefault="00DC0F63" w:rsidP="002F3761">
      <w:pPr>
        <w:rPr>
          <w:rFonts w:cs="Times New Roman"/>
          <w:bCs/>
          <w:i/>
          <w:iCs/>
          <w:szCs w:val="24"/>
        </w:rPr>
      </w:pPr>
    </w:p>
    <w:p w14:paraId="44270C21" w14:textId="77777777" w:rsidR="00273D62" w:rsidRPr="002F3761" w:rsidRDefault="00273D62" w:rsidP="002F3761">
      <w:pPr>
        <w:ind w:left="708"/>
        <w:rPr>
          <w:rFonts w:cs="Times New Roman"/>
          <w:bCs/>
          <w:szCs w:val="24"/>
        </w:rPr>
      </w:pPr>
      <w:r w:rsidRPr="002F3761">
        <w:rPr>
          <w:rFonts w:cs="Times New Roman"/>
          <w:bCs/>
          <w:szCs w:val="24"/>
        </w:rPr>
        <w:t>„</w:t>
      </w:r>
      <w:r w:rsidR="00BD442F" w:rsidRPr="002F3761">
        <w:rPr>
          <w:rFonts w:cs="Times New Roman"/>
          <w:bCs/>
          <w:szCs w:val="24"/>
        </w:rPr>
        <w:t>A</w:t>
      </w:r>
      <w:r w:rsidRPr="002F3761">
        <w:rPr>
          <w:rFonts w:cs="Times New Roman"/>
          <w:bCs/>
          <w:szCs w:val="24"/>
        </w:rPr>
        <w:t xml:space="preserve"> beteg – akut mentális zavara következtében – saját vagy mások életére, testi épségére, egészségére közvetlen és súlyos veszélyt jelent, és az azonnali kezelés hiánya állapotának további romlását eredményezné, amely </w:t>
      </w:r>
      <w:r w:rsidR="00DC0F63" w:rsidRPr="002F3761">
        <w:rPr>
          <w:rFonts w:cs="Times New Roman"/>
          <w:bCs/>
          <w:szCs w:val="24"/>
        </w:rPr>
        <w:t xml:space="preserve">(…) </w:t>
      </w:r>
      <w:r w:rsidRPr="002F3761">
        <w:rPr>
          <w:rFonts w:cs="Times New Roman"/>
          <w:bCs/>
          <w:szCs w:val="24"/>
        </w:rPr>
        <w:t xml:space="preserve">azonnali intézeti gyógykezeléssel </w:t>
      </w:r>
      <w:r w:rsidR="00DC0F63" w:rsidRPr="002F3761">
        <w:rPr>
          <w:rFonts w:cs="Times New Roman"/>
          <w:bCs/>
          <w:szCs w:val="24"/>
        </w:rPr>
        <w:t>[sürgősségi gyógykezelés]</w:t>
      </w:r>
      <w:r w:rsidRPr="002F3761">
        <w:rPr>
          <w:rFonts w:cs="Times New Roman"/>
          <w:bCs/>
          <w:szCs w:val="24"/>
        </w:rPr>
        <w:t xml:space="preserve"> hárítható el.”</w:t>
      </w:r>
      <w:r w:rsidR="00BD442F" w:rsidRPr="002F3761">
        <w:rPr>
          <w:rStyle w:val="Lbjegyzet-hivatkozs"/>
          <w:rFonts w:cs="Times New Roman"/>
          <w:bCs/>
          <w:szCs w:val="24"/>
        </w:rPr>
        <w:footnoteReference w:id="10"/>
      </w:r>
    </w:p>
    <w:p w14:paraId="29091985" w14:textId="77777777" w:rsidR="006770A0" w:rsidRDefault="006770A0" w:rsidP="002F3761">
      <w:pPr>
        <w:tabs>
          <w:tab w:val="left" w:pos="709"/>
        </w:tabs>
        <w:rPr>
          <w:rFonts w:cs="Times New Roman"/>
          <w:bCs/>
          <w:szCs w:val="24"/>
        </w:rPr>
      </w:pPr>
    </w:p>
    <w:p w14:paraId="71A461FF" w14:textId="6E2E7BC3" w:rsidR="00112DD5" w:rsidRDefault="00112DD5" w:rsidP="002F3761">
      <w:pPr>
        <w:tabs>
          <w:tab w:val="left" w:pos="709"/>
        </w:tabs>
        <w:rPr>
          <w:rFonts w:cs="Times New Roman"/>
          <w:bCs/>
          <w:szCs w:val="24"/>
        </w:rPr>
      </w:pPr>
      <w:r>
        <w:rPr>
          <w:rFonts w:cs="Times New Roman"/>
          <w:bCs/>
          <w:szCs w:val="24"/>
        </w:rPr>
        <w:t xml:space="preserve">A sürgősségi gyógykezelés esetén </w:t>
      </w:r>
      <w:r w:rsidR="00134FB3">
        <w:t>a beteg felvételét követően a pszichiátriai intézet vezetője 24 órán belül értesíti a bíróságot,</w:t>
      </w:r>
      <w:r w:rsidR="00134FB3">
        <w:rPr>
          <w:rStyle w:val="Lbjegyzet-hivatkozs"/>
        </w:rPr>
        <w:footnoteReference w:id="11"/>
      </w:r>
      <w:r w:rsidR="00134FB3">
        <w:t xml:space="preserve"> és a bíróság pedig az értesítés kézhezvételétől számított 72 órán belül határozatot hoz</w:t>
      </w:r>
      <w:r w:rsidR="00134FB3">
        <w:rPr>
          <w:rStyle w:val="Lbjegyzet-hivatkozs"/>
        </w:rPr>
        <w:footnoteReference w:id="12"/>
      </w:r>
      <w:r w:rsidR="00134FB3">
        <w:rPr>
          <w:rFonts w:cs="Times New Roman"/>
          <w:bCs/>
          <w:szCs w:val="24"/>
        </w:rPr>
        <w:t xml:space="preserve"> </w:t>
      </w:r>
      <w:r>
        <w:rPr>
          <w:rFonts w:cs="Times New Roman"/>
          <w:bCs/>
          <w:szCs w:val="24"/>
        </w:rPr>
        <w:t xml:space="preserve">arról, hogy a </w:t>
      </w:r>
      <w:r w:rsidR="00134FB3">
        <w:rPr>
          <w:rFonts w:cs="Times New Roman"/>
          <w:bCs/>
          <w:szCs w:val="24"/>
        </w:rPr>
        <w:t>beszállítás indokolt volt-e, valamint, hogy szükséges-e a kezelés fenntartása kötelező gyógykezelés formájában.</w:t>
      </w:r>
    </w:p>
    <w:p w14:paraId="4A505CB0" w14:textId="77777777" w:rsidR="00112DD5" w:rsidRDefault="00112DD5" w:rsidP="002F3761">
      <w:pPr>
        <w:tabs>
          <w:tab w:val="left" w:pos="709"/>
        </w:tabs>
        <w:rPr>
          <w:rFonts w:cs="Times New Roman"/>
          <w:bCs/>
          <w:szCs w:val="24"/>
        </w:rPr>
      </w:pPr>
    </w:p>
    <w:p w14:paraId="1D563121" w14:textId="77777777" w:rsidR="003E5452" w:rsidRDefault="003E5452" w:rsidP="002F3761">
      <w:pPr>
        <w:tabs>
          <w:tab w:val="left" w:pos="709"/>
        </w:tabs>
        <w:rPr>
          <w:rFonts w:cs="Times New Roman"/>
          <w:bCs/>
          <w:szCs w:val="24"/>
        </w:rPr>
      </w:pPr>
    </w:p>
    <w:p w14:paraId="0EA78174" w14:textId="77777777" w:rsidR="003E5452" w:rsidRPr="002F3761" w:rsidRDefault="003E5452" w:rsidP="002F3761">
      <w:pPr>
        <w:tabs>
          <w:tab w:val="left" w:pos="709"/>
        </w:tabs>
        <w:rPr>
          <w:rFonts w:cs="Times New Roman"/>
          <w:bCs/>
          <w:szCs w:val="24"/>
        </w:rPr>
      </w:pPr>
    </w:p>
    <w:p w14:paraId="5D24BA63" w14:textId="37FB9D1A" w:rsidR="00273D62" w:rsidRPr="000B427C" w:rsidRDefault="0033087A" w:rsidP="000B427C">
      <w:pPr>
        <w:pStyle w:val="Cmsor3"/>
        <w:rPr>
          <w:rFonts w:ascii="Times New Roman" w:hAnsi="Times New Roman" w:cs="Times New Roman"/>
          <w:color w:val="auto"/>
        </w:rPr>
      </w:pPr>
      <w:bookmarkStart w:id="9" w:name="_Toc451515099"/>
      <w:r w:rsidRPr="000B427C">
        <w:rPr>
          <w:rFonts w:ascii="Times New Roman" w:hAnsi="Times New Roman" w:cs="Times New Roman"/>
          <w:color w:val="auto"/>
        </w:rPr>
        <w:lastRenderedPageBreak/>
        <w:t>1.1.3.</w:t>
      </w:r>
      <w:r w:rsidR="00293387" w:rsidRPr="000B427C">
        <w:rPr>
          <w:rFonts w:ascii="Times New Roman" w:hAnsi="Times New Roman" w:cs="Times New Roman"/>
          <w:color w:val="auto"/>
        </w:rPr>
        <w:t xml:space="preserve"> </w:t>
      </w:r>
      <w:r w:rsidR="006770A0" w:rsidRPr="000B427C">
        <w:rPr>
          <w:rFonts w:ascii="Times New Roman" w:hAnsi="Times New Roman" w:cs="Times New Roman"/>
          <w:color w:val="auto"/>
        </w:rPr>
        <w:t>Kötelező gyógykezelés</w:t>
      </w:r>
      <w:bookmarkEnd w:id="9"/>
    </w:p>
    <w:p w14:paraId="650F5535" w14:textId="77777777" w:rsidR="006770A0" w:rsidRPr="002F3761" w:rsidRDefault="006770A0" w:rsidP="002F3761">
      <w:pPr>
        <w:rPr>
          <w:rFonts w:cs="Times New Roman"/>
          <w:bCs/>
          <w:szCs w:val="24"/>
        </w:rPr>
      </w:pPr>
    </w:p>
    <w:p w14:paraId="1844CC04" w14:textId="57DC8A3E" w:rsidR="00273D62" w:rsidRPr="002F3761" w:rsidRDefault="00273D62" w:rsidP="002F3761">
      <w:pPr>
        <w:rPr>
          <w:rFonts w:cs="Times New Roman"/>
          <w:bCs/>
          <w:iCs/>
          <w:szCs w:val="24"/>
        </w:rPr>
      </w:pPr>
      <w:r w:rsidRPr="002F3761">
        <w:rPr>
          <w:rFonts w:cs="Times New Roman"/>
          <w:bCs/>
          <w:i/>
          <w:szCs w:val="24"/>
        </w:rPr>
        <w:t>Kötelező gyógykezelésre</w:t>
      </w:r>
      <w:r w:rsidRPr="002F3761">
        <w:rPr>
          <w:rFonts w:cs="Times New Roman"/>
          <w:bCs/>
          <w:szCs w:val="24"/>
        </w:rPr>
        <w:t xml:space="preserve"> a bíróság kötelező intézeti gyógykezelést elrendelő határozata alapján kerülhet sor.</w:t>
      </w:r>
      <w:r w:rsidRPr="002F3761">
        <w:rPr>
          <w:rStyle w:val="Lbjegyzet-hivatkozs"/>
          <w:rFonts w:cs="Times New Roman"/>
          <w:bCs/>
          <w:szCs w:val="24"/>
        </w:rPr>
        <w:footnoteReference w:id="13"/>
      </w:r>
      <w:r w:rsidR="002741A5" w:rsidRPr="002F3761">
        <w:rPr>
          <w:rFonts w:cs="Times New Roman"/>
          <w:bCs/>
          <w:szCs w:val="24"/>
        </w:rPr>
        <w:t xml:space="preserve"> </w:t>
      </w:r>
      <w:r w:rsidR="00795A58">
        <w:rPr>
          <w:rFonts w:cs="Times New Roman"/>
          <w:bCs/>
          <w:szCs w:val="24"/>
        </w:rPr>
        <w:t>A bíróság kötelező gyógykezelést rendel el, ha a beteg</w:t>
      </w:r>
      <w:r w:rsidR="0061750C">
        <w:rPr>
          <w:rFonts w:cs="Times New Roman"/>
          <w:bCs/>
          <w:szCs w:val="24"/>
        </w:rPr>
        <w:t xml:space="preserve"> a sürgősségi gyógykezelésének megkezdését követően</w:t>
      </w:r>
      <w:r w:rsidR="00795A58">
        <w:rPr>
          <w:rFonts w:cs="Times New Roman"/>
          <w:bCs/>
          <w:szCs w:val="24"/>
        </w:rPr>
        <w:t xml:space="preserve"> továbbra is közvetlen veszélyeztető magatartást</w:t>
      </w:r>
      <w:r w:rsidR="002D0384">
        <w:rPr>
          <w:rFonts w:cs="Times New Roman"/>
          <w:bCs/>
          <w:szCs w:val="24"/>
        </w:rPr>
        <w:t>, vagy ha</w:t>
      </w:r>
      <w:r w:rsidR="00795A58">
        <w:rPr>
          <w:rFonts w:cs="Times New Roman"/>
          <w:bCs/>
          <w:szCs w:val="24"/>
        </w:rPr>
        <w:t xml:space="preserve"> </w:t>
      </w:r>
      <w:r w:rsidR="00C52D7A" w:rsidRPr="00795A58">
        <w:rPr>
          <w:rFonts w:cs="Times New Roman"/>
          <w:bCs/>
          <w:i/>
          <w:szCs w:val="24"/>
        </w:rPr>
        <w:t>veszélyeztető magatartást</w:t>
      </w:r>
      <w:r w:rsidR="00C52D7A" w:rsidRPr="002F3761">
        <w:rPr>
          <w:rFonts w:cs="Times New Roman"/>
          <w:bCs/>
          <w:szCs w:val="24"/>
        </w:rPr>
        <w:t xml:space="preserve"> tanúsít.</w:t>
      </w:r>
      <w:r w:rsidR="002741A5" w:rsidRPr="002F3761">
        <w:rPr>
          <w:rStyle w:val="Lbjegyzet-hivatkozs"/>
          <w:rFonts w:cs="Times New Roman"/>
          <w:bCs/>
          <w:szCs w:val="24"/>
        </w:rPr>
        <w:footnoteReference w:id="14"/>
      </w:r>
      <w:r w:rsidR="002741A5" w:rsidRPr="002F3761">
        <w:rPr>
          <w:rFonts w:cs="Times New Roman"/>
          <w:bCs/>
          <w:szCs w:val="24"/>
        </w:rPr>
        <w:t xml:space="preserve"> Az Eütv. értelmében </w:t>
      </w:r>
      <w:r w:rsidR="002741A5" w:rsidRPr="002F3761">
        <w:rPr>
          <w:rFonts w:cs="Times New Roman"/>
          <w:bCs/>
          <w:iCs/>
          <w:szCs w:val="24"/>
        </w:rPr>
        <w:t>veszélyeztető magatartás:</w:t>
      </w:r>
    </w:p>
    <w:p w14:paraId="22536F4D" w14:textId="77777777" w:rsidR="00DC0F63" w:rsidRPr="002F3761" w:rsidRDefault="00DC0F63" w:rsidP="002F3761">
      <w:pPr>
        <w:rPr>
          <w:rFonts w:cs="Times New Roman"/>
          <w:bCs/>
          <w:szCs w:val="24"/>
        </w:rPr>
      </w:pPr>
    </w:p>
    <w:p w14:paraId="75E19923" w14:textId="77777777" w:rsidR="00A63C57" w:rsidRPr="002F3761" w:rsidRDefault="00DC0F63" w:rsidP="002F3761">
      <w:pPr>
        <w:ind w:left="708"/>
        <w:rPr>
          <w:rFonts w:cs="Times New Roman"/>
          <w:bCs/>
          <w:szCs w:val="24"/>
        </w:rPr>
      </w:pPr>
      <w:r w:rsidRPr="002F3761">
        <w:rPr>
          <w:rFonts w:cs="Times New Roman"/>
          <w:bCs/>
          <w:szCs w:val="24"/>
        </w:rPr>
        <w:t>„</w:t>
      </w:r>
      <w:r w:rsidR="00BD442F" w:rsidRPr="002F3761">
        <w:rPr>
          <w:rFonts w:cs="Times New Roman"/>
          <w:bCs/>
          <w:szCs w:val="24"/>
        </w:rPr>
        <w:t>A</w:t>
      </w:r>
      <w:r w:rsidR="002741A5" w:rsidRPr="002F3761">
        <w:rPr>
          <w:rFonts w:cs="Times New Roman"/>
          <w:bCs/>
          <w:szCs w:val="24"/>
        </w:rPr>
        <w:t xml:space="preserve"> beteg </w:t>
      </w:r>
      <w:r w:rsidRPr="002F3761">
        <w:rPr>
          <w:rFonts w:cs="Times New Roman"/>
          <w:bCs/>
          <w:szCs w:val="24"/>
        </w:rPr>
        <w:t>–</w:t>
      </w:r>
      <w:r w:rsidR="002741A5" w:rsidRPr="002F3761">
        <w:rPr>
          <w:rFonts w:cs="Times New Roman"/>
          <w:bCs/>
          <w:szCs w:val="24"/>
        </w:rPr>
        <w:t xml:space="preserve"> mentális</w:t>
      </w:r>
      <w:r w:rsidRPr="002F3761">
        <w:rPr>
          <w:rFonts w:cs="Times New Roman"/>
          <w:bCs/>
          <w:szCs w:val="24"/>
        </w:rPr>
        <w:t xml:space="preserve"> </w:t>
      </w:r>
      <w:r w:rsidR="002741A5" w:rsidRPr="002F3761">
        <w:rPr>
          <w:rFonts w:cs="Times New Roman"/>
          <w:bCs/>
          <w:szCs w:val="24"/>
        </w:rPr>
        <w:t xml:space="preserve">zavara következtében </w:t>
      </w:r>
      <w:r w:rsidRPr="002F3761">
        <w:rPr>
          <w:rFonts w:cs="Times New Roman"/>
          <w:bCs/>
          <w:szCs w:val="24"/>
        </w:rPr>
        <w:t>–</w:t>
      </w:r>
      <w:r w:rsidR="002741A5" w:rsidRPr="002F3761">
        <w:rPr>
          <w:rFonts w:cs="Times New Roman"/>
          <w:bCs/>
          <w:szCs w:val="24"/>
        </w:rPr>
        <w:t xml:space="preserve"> saját</w:t>
      </w:r>
      <w:r w:rsidRPr="002F3761">
        <w:rPr>
          <w:rFonts w:cs="Times New Roman"/>
          <w:bCs/>
          <w:szCs w:val="24"/>
        </w:rPr>
        <w:t xml:space="preserve"> </w:t>
      </w:r>
      <w:r w:rsidR="002741A5" w:rsidRPr="002F3761">
        <w:rPr>
          <w:rFonts w:cs="Times New Roman"/>
          <w:bCs/>
          <w:szCs w:val="24"/>
        </w:rPr>
        <w:t xml:space="preserve">vagy mások életére, testi épségére, egészségére jelentős veszélyt jelenthet, és a kezelés hiánya állapotának további romlását eredményezné, amely </w:t>
      </w:r>
      <w:r w:rsidRPr="002F3761">
        <w:rPr>
          <w:rFonts w:cs="Times New Roman"/>
          <w:bCs/>
          <w:szCs w:val="24"/>
        </w:rPr>
        <w:t>(…) [</w:t>
      </w:r>
      <w:r w:rsidR="002741A5" w:rsidRPr="002F3761">
        <w:rPr>
          <w:rFonts w:cs="Times New Roman"/>
          <w:bCs/>
          <w:szCs w:val="24"/>
        </w:rPr>
        <w:t>kötelező</w:t>
      </w:r>
      <w:r w:rsidRPr="002F3761">
        <w:rPr>
          <w:rFonts w:cs="Times New Roman"/>
          <w:bCs/>
          <w:szCs w:val="24"/>
        </w:rPr>
        <w:t>]</w:t>
      </w:r>
      <w:r w:rsidR="002741A5" w:rsidRPr="002F3761">
        <w:rPr>
          <w:rFonts w:cs="Times New Roman"/>
          <w:bCs/>
          <w:szCs w:val="24"/>
        </w:rPr>
        <w:t xml:space="preserve"> gyógykezeléssel hárítható el, de a megbetegedés jellegére tekintettel a sürgős intézeti gy</w:t>
      </w:r>
      <w:r w:rsidR="00BD442F" w:rsidRPr="002F3761">
        <w:rPr>
          <w:rFonts w:cs="Times New Roman"/>
          <w:bCs/>
          <w:szCs w:val="24"/>
        </w:rPr>
        <w:t>ógykezelésbe vétel nem indokolt.</w:t>
      </w:r>
      <w:r w:rsidRPr="002F3761">
        <w:rPr>
          <w:rFonts w:cs="Times New Roman"/>
          <w:bCs/>
          <w:szCs w:val="24"/>
        </w:rPr>
        <w:t>”</w:t>
      </w:r>
      <w:r w:rsidR="00BD442F" w:rsidRPr="002F3761">
        <w:rPr>
          <w:rStyle w:val="Lbjegyzet-hivatkozs"/>
          <w:rFonts w:cs="Times New Roman"/>
          <w:bCs/>
          <w:szCs w:val="24"/>
        </w:rPr>
        <w:footnoteReference w:id="15"/>
      </w:r>
    </w:p>
    <w:p w14:paraId="6ABCCE72" w14:textId="77777777" w:rsidR="00A63C57" w:rsidRDefault="00A63C57" w:rsidP="002F3761">
      <w:pPr>
        <w:rPr>
          <w:rFonts w:cs="Times New Roman"/>
          <w:b/>
          <w:szCs w:val="24"/>
        </w:rPr>
      </w:pPr>
    </w:p>
    <w:p w14:paraId="1580C9F7" w14:textId="77F73F98" w:rsidR="002379AE" w:rsidRDefault="002379AE" w:rsidP="002F3761">
      <w:r>
        <w:t>A kötelező gyógykezelés hossza határozatlan idejű, az Eütv. értelmében a „beteget az intézetből el kell bocsátani, ha</w:t>
      </w:r>
      <w:r w:rsidR="00604190">
        <w:t xml:space="preserve"> gyógykezelése már nem indokolt;</w:t>
      </w:r>
      <w:r>
        <w:t>”</w:t>
      </w:r>
      <w:r>
        <w:rPr>
          <w:rStyle w:val="Lbjegyzet-hivatkozs"/>
        </w:rPr>
        <w:footnoteReference w:id="16"/>
      </w:r>
      <w:r w:rsidR="00604190">
        <w:t xml:space="preserve"> a</w:t>
      </w:r>
      <w:r>
        <w:t xml:space="preserve"> kötelező intézeti gyógykezelés szükségességét pedig a bíróság harmincnaponként felülvizsgálja.</w:t>
      </w:r>
      <w:r>
        <w:rPr>
          <w:rStyle w:val="Lbjegyzet-hivatkozs"/>
        </w:rPr>
        <w:footnoteReference w:id="17"/>
      </w:r>
      <w:r>
        <w:t xml:space="preserve"> </w:t>
      </w:r>
      <w:r w:rsidR="00E868A2">
        <w:t>A kötelező gyógykezelés</w:t>
      </w:r>
      <w:r w:rsidR="0061750C">
        <w:t xml:space="preserve">sel érintett </w:t>
      </w:r>
      <w:r w:rsidR="00E868A2">
        <w:t>személynek joga v</w:t>
      </w:r>
      <w:r w:rsidR="002D0384">
        <w:t>an a terápiás foglalkoztatáshoz,</w:t>
      </w:r>
      <w:r w:rsidR="00E868A2">
        <w:rPr>
          <w:rStyle w:val="Lbjegyzet-hivatkozs"/>
        </w:rPr>
        <w:footnoteReference w:id="18"/>
      </w:r>
      <w:r w:rsidR="00E868A2">
        <w:t xml:space="preserve"> </w:t>
      </w:r>
      <w:r w:rsidR="002D0384">
        <w:t>és a</w:t>
      </w:r>
      <w:r w:rsidR="00E868A2">
        <w:t>nnak ellenére, hogy pszichoterápia, csoportterápia vagy művész</w:t>
      </w:r>
      <w:r w:rsidR="0061750C">
        <w:t>e</w:t>
      </w:r>
      <w:r w:rsidR="00E868A2">
        <w:t>t terápia is alkalmazható lenne, sok esetben inkább a gyógyszeres kezelés jelenti a kezelés fő pillérét. Korlátozó intézkedések – ideértve a pszichikai korlátozást,</w:t>
      </w:r>
      <w:r w:rsidR="00E868A2">
        <w:rPr>
          <w:rStyle w:val="Lbjegyzet-hivatkozs"/>
        </w:rPr>
        <w:footnoteReference w:id="19"/>
      </w:r>
      <w:r w:rsidR="00E868A2">
        <w:t xml:space="preserve"> a fizikai korlátozást,</w:t>
      </w:r>
      <w:r w:rsidR="00E868A2">
        <w:rPr>
          <w:rStyle w:val="Lbjegyzet-hivatkozs"/>
        </w:rPr>
        <w:footnoteReference w:id="20"/>
      </w:r>
      <w:r w:rsidR="007C622C" w:rsidRPr="007C622C">
        <w:t xml:space="preserve"> </w:t>
      </w:r>
      <w:r w:rsidR="007C622C">
        <w:t xml:space="preserve">a </w:t>
      </w:r>
      <w:r w:rsidR="007C622C" w:rsidRPr="007C622C">
        <w:t>kémiai vagy biológiai korlátozás</w:t>
      </w:r>
      <w:r w:rsidR="007C622C">
        <w:t>t,</w:t>
      </w:r>
      <w:r w:rsidR="007C622C">
        <w:rPr>
          <w:rStyle w:val="Lbjegyzet-hivatkozs"/>
        </w:rPr>
        <w:footnoteReference w:id="21"/>
      </w:r>
      <w:r w:rsidR="007C622C" w:rsidRPr="007C622C">
        <w:t xml:space="preserve"> </w:t>
      </w:r>
      <w:r w:rsidR="007C622C">
        <w:t xml:space="preserve">valamint a </w:t>
      </w:r>
      <w:r w:rsidR="007C622C" w:rsidRPr="007C622C">
        <w:t>fizikai, kémiai vagy biológiai</w:t>
      </w:r>
      <w:r w:rsidR="007C622C">
        <w:t xml:space="preserve"> korlátozások </w:t>
      </w:r>
      <w:r w:rsidR="007C622C" w:rsidRPr="007C622C">
        <w:t>komplex alkalmazásá</w:t>
      </w:r>
      <w:r w:rsidR="007C622C">
        <w:t>t</w:t>
      </w:r>
      <w:r w:rsidR="00E60D4D">
        <w:rPr>
          <w:rStyle w:val="Lbjegyzet-hivatkozs"/>
        </w:rPr>
        <w:footnoteReference w:id="22"/>
      </w:r>
      <w:r w:rsidR="007C622C">
        <w:t xml:space="preserve"> – abban az esetben alkalmazhatóak, ha az érintett </w:t>
      </w:r>
      <w:proofErr w:type="gramStart"/>
      <w:r w:rsidR="007C622C">
        <w:t xml:space="preserve">személy </w:t>
      </w:r>
      <w:r w:rsidR="007C622C" w:rsidRPr="007C622C">
        <w:t>veszélyeztető</w:t>
      </w:r>
      <w:proofErr w:type="gramEnd"/>
      <w:r w:rsidR="007C622C" w:rsidRPr="007C622C">
        <w:t xml:space="preserve"> vagy közvetlen veszélyeztető magatartás</w:t>
      </w:r>
      <w:r w:rsidR="007C622C">
        <w:t>t tanúsít,</w:t>
      </w:r>
      <w:r w:rsidR="007C622C">
        <w:rPr>
          <w:rStyle w:val="Lbjegyzet-hivatkozs"/>
        </w:rPr>
        <w:footnoteReference w:id="23"/>
      </w:r>
      <w:r w:rsidR="007C622C">
        <w:t xml:space="preserve"> tehát a sürgősségi és a kötelező gyógykezelés ideje alatt bármikor. Garanciális elemként említhető, hogy a korlátozás csak addig tarthat, illetőleg olyan mértékű és jellegű lehet, amely a veszély elhá</w:t>
      </w:r>
      <w:r w:rsidR="00604190">
        <w:t>rításához feltétlenül szükséges,</w:t>
      </w:r>
      <w:r w:rsidR="00604190">
        <w:rPr>
          <w:rStyle w:val="Lbjegyzet-hivatkozs"/>
        </w:rPr>
        <w:footnoteReference w:id="24"/>
      </w:r>
      <w:r w:rsidR="00604190">
        <w:t xml:space="preserve"> tovább</w:t>
      </w:r>
      <w:r w:rsidR="00E60D4D">
        <w:t>á</w:t>
      </w:r>
      <w:r w:rsidR="00604190">
        <w:t>, hogy t</w:t>
      </w:r>
      <w:r w:rsidR="00E868A2" w:rsidRPr="00E868A2">
        <w:t>öbb lehetséges és alkalmas korlátozó intézkedés közül azt kell választani, amely az intézkedéssel érintettre a veszélyeztető, illetve közvetlenül veszélyeztető magatartás elhárításához szükséges legkisebb mértékű korlátozással, hátránnyal jár.</w:t>
      </w:r>
      <w:r w:rsidR="00604190">
        <w:rPr>
          <w:rStyle w:val="Lbjegyzet-hivatkozs"/>
        </w:rPr>
        <w:footnoteReference w:id="25"/>
      </w:r>
    </w:p>
    <w:p w14:paraId="198D356E" w14:textId="77777777" w:rsidR="00E60D4D" w:rsidRPr="002F3761" w:rsidRDefault="00E60D4D" w:rsidP="002F3761">
      <w:pPr>
        <w:rPr>
          <w:rFonts w:cs="Times New Roman"/>
          <w:b/>
          <w:szCs w:val="24"/>
        </w:rPr>
      </w:pPr>
    </w:p>
    <w:p w14:paraId="6848D9A2" w14:textId="5CE08A21" w:rsidR="005A7053" w:rsidRPr="000B427C" w:rsidRDefault="0033087A" w:rsidP="000B427C">
      <w:pPr>
        <w:pStyle w:val="Cmsor2"/>
        <w:rPr>
          <w:rFonts w:ascii="Times New Roman" w:hAnsi="Times New Roman" w:cs="Times New Roman"/>
        </w:rPr>
      </w:pPr>
      <w:bookmarkStart w:id="10" w:name="_Toc451515100"/>
      <w:r w:rsidRPr="000B427C">
        <w:rPr>
          <w:rFonts w:ascii="Times New Roman" w:hAnsi="Times New Roman" w:cs="Times New Roman"/>
          <w:color w:val="auto"/>
        </w:rPr>
        <w:lastRenderedPageBreak/>
        <w:t>1.2.</w:t>
      </w:r>
      <w:r w:rsidR="00CF4E97" w:rsidRPr="000B427C">
        <w:rPr>
          <w:rFonts w:ascii="Times New Roman" w:hAnsi="Times New Roman" w:cs="Times New Roman"/>
          <w:color w:val="auto"/>
        </w:rPr>
        <w:t xml:space="preserve"> </w:t>
      </w:r>
      <w:r w:rsidR="00A63C57" w:rsidRPr="000B427C">
        <w:rPr>
          <w:rFonts w:ascii="Times New Roman" w:hAnsi="Times New Roman" w:cs="Times New Roman"/>
          <w:color w:val="auto"/>
        </w:rPr>
        <w:t>P</w:t>
      </w:r>
      <w:r w:rsidR="005A7053" w:rsidRPr="000B427C">
        <w:rPr>
          <w:rFonts w:ascii="Times New Roman" w:hAnsi="Times New Roman" w:cs="Times New Roman"/>
          <w:color w:val="auto"/>
        </w:rPr>
        <w:t>szichoszociális fogyatékosság</w:t>
      </w:r>
      <w:r w:rsidR="00A63C57" w:rsidRPr="000B427C">
        <w:rPr>
          <w:rFonts w:ascii="Times New Roman" w:hAnsi="Times New Roman" w:cs="Times New Roman"/>
          <w:color w:val="auto"/>
        </w:rPr>
        <w:t>, pszichiátriai betegség</w:t>
      </w:r>
      <w:bookmarkEnd w:id="10"/>
    </w:p>
    <w:p w14:paraId="4DD1FD1C" w14:textId="77777777" w:rsidR="005A7053" w:rsidRPr="002F3761" w:rsidRDefault="005A7053" w:rsidP="002F3761">
      <w:pPr>
        <w:rPr>
          <w:rFonts w:cs="Times New Roman"/>
          <w:szCs w:val="24"/>
        </w:rPr>
      </w:pPr>
    </w:p>
    <w:p w14:paraId="0BE7EC2C" w14:textId="6653CE1B" w:rsidR="00E45859" w:rsidRPr="002F3761" w:rsidRDefault="00A63C57" w:rsidP="002F3761">
      <w:pPr>
        <w:rPr>
          <w:rFonts w:cs="Times New Roman"/>
          <w:szCs w:val="24"/>
        </w:rPr>
      </w:pPr>
      <w:r w:rsidRPr="002F3761">
        <w:rPr>
          <w:rFonts w:cs="Times New Roman"/>
          <w:szCs w:val="24"/>
        </w:rPr>
        <w:t>Magyarországon, a</w:t>
      </w:r>
      <w:r w:rsidR="00482C69" w:rsidRPr="002F3761">
        <w:rPr>
          <w:rFonts w:cs="Times New Roman"/>
          <w:szCs w:val="24"/>
        </w:rPr>
        <w:t xml:space="preserve"> fogyatékos személyek jogairól és esélyegyenlőségük biztosításáról szóló 1998. évi XXVI. törvény (</w:t>
      </w:r>
      <w:r w:rsidRPr="002F3761">
        <w:rPr>
          <w:rFonts w:cs="Times New Roman"/>
          <w:szCs w:val="24"/>
        </w:rPr>
        <w:t xml:space="preserve">a továbbiakban: </w:t>
      </w:r>
      <w:r w:rsidR="00482C69" w:rsidRPr="002F3761">
        <w:rPr>
          <w:rFonts w:cs="Times New Roman"/>
          <w:szCs w:val="24"/>
        </w:rPr>
        <w:t xml:space="preserve">Fot.) értelmében </w:t>
      </w:r>
      <w:r w:rsidR="008757F0" w:rsidRPr="002F3761">
        <w:rPr>
          <w:rFonts w:cs="Times New Roman"/>
          <w:szCs w:val="24"/>
        </w:rPr>
        <w:t>fogyatékos</w:t>
      </w:r>
      <w:r w:rsidR="00E60D4D">
        <w:rPr>
          <w:rFonts w:cs="Times New Roman"/>
          <w:szCs w:val="24"/>
        </w:rPr>
        <w:t>sággal élő</w:t>
      </w:r>
      <w:r w:rsidR="008757F0" w:rsidRPr="002F3761">
        <w:rPr>
          <w:rFonts w:cs="Times New Roman"/>
          <w:szCs w:val="24"/>
        </w:rPr>
        <w:t xml:space="preserve"> személy többek között az, aki </w:t>
      </w:r>
      <w:r w:rsidR="00482C69" w:rsidRPr="002F3761">
        <w:rPr>
          <w:rFonts w:cs="Times New Roman"/>
          <w:szCs w:val="24"/>
        </w:rPr>
        <w:t>tartósan vagy véglegesen olyan pszichoszociális károsodással él, amely a környezeti, társadalmi és egyéb jelentős akadályokkal kölcsönhatásban a hatékony és másokkal egyenlő társadalmi rés</w:t>
      </w:r>
      <w:r w:rsidR="008757F0" w:rsidRPr="002F3761">
        <w:rPr>
          <w:rFonts w:cs="Times New Roman"/>
          <w:szCs w:val="24"/>
        </w:rPr>
        <w:t>zvételt korlátozza vagy gátolja.</w:t>
      </w:r>
      <w:r w:rsidR="008757F0" w:rsidRPr="002F3761">
        <w:rPr>
          <w:rStyle w:val="Lbjegyzet-hivatkozs"/>
          <w:rFonts w:cs="Times New Roman"/>
          <w:szCs w:val="24"/>
        </w:rPr>
        <w:footnoteReference w:id="26"/>
      </w:r>
      <w:r w:rsidR="007818CB" w:rsidRPr="002F3761">
        <w:rPr>
          <w:rFonts w:cs="Times New Roman"/>
          <w:szCs w:val="24"/>
        </w:rPr>
        <w:t xml:space="preserve"> A pszichoszociális vagy mentális</w:t>
      </w:r>
      <w:r w:rsidR="007818CB" w:rsidRPr="002F3761">
        <w:rPr>
          <w:rStyle w:val="Lbjegyzet-hivatkozs"/>
          <w:rFonts w:cs="Times New Roman"/>
          <w:szCs w:val="24"/>
        </w:rPr>
        <w:footnoteReference w:id="27"/>
      </w:r>
      <w:r w:rsidR="007818CB" w:rsidRPr="002F3761">
        <w:rPr>
          <w:rFonts w:cs="Times New Roman"/>
          <w:szCs w:val="24"/>
        </w:rPr>
        <w:t xml:space="preserve"> károsodás diagnosztizálására alapvetően a Betegségek Nemzetközi Osztályozása (BNO) </w:t>
      </w:r>
      <w:r w:rsidR="00E45859" w:rsidRPr="002F3761">
        <w:rPr>
          <w:rFonts w:cs="Times New Roman"/>
          <w:szCs w:val="24"/>
        </w:rPr>
        <w:t xml:space="preserve">X. revíziója, vagy az Amerikai Pszichiátriai Társaság „Diagnostic and Statistical Manual” (DSM) című dokumentuma alapján kerül sor. Azzal összefüggésben, hogy az Eütv. </w:t>
      </w:r>
      <w:r w:rsidR="00E45859" w:rsidRPr="002F3761">
        <w:rPr>
          <w:rFonts w:cs="Times New Roman"/>
          <w:i/>
          <w:szCs w:val="24"/>
        </w:rPr>
        <w:t>pszichiátriai beteg</w:t>
      </w:r>
      <w:r w:rsidR="00E45859" w:rsidRPr="002F3761">
        <w:rPr>
          <w:rStyle w:val="Lbjegyzet-hivatkozs"/>
          <w:rFonts w:cs="Times New Roman"/>
          <w:szCs w:val="24"/>
        </w:rPr>
        <w:footnoteReference w:id="28"/>
      </w:r>
      <w:r w:rsidR="00E45859" w:rsidRPr="002F3761">
        <w:rPr>
          <w:rFonts w:cs="Times New Roman"/>
          <w:szCs w:val="24"/>
        </w:rPr>
        <w:t xml:space="preserve"> fogalma miként viszonyul a </w:t>
      </w:r>
      <w:r w:rsidR="00E45859" w:rsidRPr="002F3761">
        <w:rPr>
          <w:rFonts w:cs="Times New Roman"/>
          <w:i/>
          <w:szCs w:val="24"/>
        </w:rPr>
        <w:t>pszichoszociális fogyatékosság</w:t>
      </w:r>
      <w:r w:rsidR="003148B5" w:rsidRPr="002F3761">
        <w:rPr>
          <w:rFonts w:cs="Times New Roman"/>
          <w:i/>
          <w:szCs w:val="24"/>
        </w:rPr>
        <w:t xml:space="preserve"> </w:t>
      </w:r>
      <w:r w:rsidR="003148B5" w:rsidRPr="002F3761">
        <w:rPr>
          <w:rFonts w:cs="Times New Roman"/>
          <w:szCs w:val="24"/>
        </w:rPr>
        <w:t>terminusához</w:t>
      </w:r>
      <w:r w:rsidR="00E45859" w:rsidRPr="002F3761">
        <w:rPr>
          <w:rFonts w:cs="Times New Roman"/>
          <w:szCs w:val="24"/>
        </w:rPr>
        <w:t xml:space="preserve">, </w:t>
      </w:r>
      <w:r w:rsidR="003148B5" w:rsidRPr="002F3761">
        <w:rPr>
          <w:rFonts w:cs="Times New Roman"/>
          <w:szCs w:val="24"/>
        </w:rPr>
        <w:t xml:space="preserve">rá kell mutatnunk, </w:t>
      </w:r>
      <w:r w:rsidR="00E45859" w:rsidRPr="002F3761">
        <w:rPr>
          <w:rFonts w:cs="Times New Roman"/>
          <w:szCs w:val="24"/>
        </w:rPr>
        <w:t>hogy a Fogyatékossággal élő személyek jogairól szóló ENSZ Egyezmény (a továbbiakban: CRPD) 1. cikke az alábbi módon fogalmaz:</w:t>
      </w:r>
    </w:p>
    <w:p w14:paraId="5B5C1505" w14:textId="77777777" w:rsidR="003148B5" w:rsidRPr="002F3761" w:rsidRDefault="003148B5" w:rsidP="002F3761">
      <w:pPr>
        <w:rPr>
          <w:rFonts w:cs="Times New Roman"/>
          <w:szCs w:val="24"/>
        </w:rPr>
      </w:pPr>
    </w:p>
    <w:p w14:paraId="769F5421" w14:textId="77777777" w:rsidR="00E45859" w:rsidRPr="002F3761" w:rsidRDefault="00E45859" w:rsidP="002F3761">
      <w:pPr>
        <w:ind w:left="708"/>
        <w:rPr>
          <w:rFonts w:cs="Times New Roman"/>
          <w:szCs w:val="24"/>
        </w:rPr>
      </w:pPr>
      <w:r w:rsidRPr="002F3761">
        <w:rPr>
          <w:rFonts w:cs="Times New Roman"/>
          <w:szCs w:val="24"/>
        </w:rPr>
        <w:t xml:space="preserve">„Persons with disabilities </w:t>
      </w:r>
      <w:r w:rsidRPr="002F3761">
        <w:rPr>
          <w:rFonts w:cs="Times New Roman"/>
          <w:i/>
          <w:szCs w:val="24"/>
        </w:rPr>
        <w:t xml:space="preserve">include </w:t>
      </w:r>
      <w:r w:rsidRPr="002F3761">
        <w:rPr>
          <w:rFonts w:cs="Times New Roman"/>
          <w:szCs w:val="24"/>
        </w:rPr>
        <w:t>those who have long-term physical, mental, intellectual or sensory impairments which in interaction with various barriers may hinder their full and effective participation in society on an equal basis with others.”</w:t>
      </w:r>
      <w:r w:rsidR="003148B5" w:rsidRPr="002F3761">
        <w:rPr>
          <w:rStyle w:val="Lbjegyzet-hivatkozs"/>
          <w:rFonts w:cs="Times New Roman"/>
          <w:szCs w:val="24"/>
        </w:rPr>
        <w:footnoteReference w:id="29"/>
      </w:r>
    </w:p>
    <w:p w14:paraId="596B64BB" w14:textId="77777777" w:rsidR="003148B5" w:rsidRPr="002F3761" w:rsidRDefault="003148B5" w:rsidP="002F3761">
      <w:pPr>
        <w:rPr>
          <w:rFonts w:cs="Times New Roman"/>
          <w:szCs w:val="24"/>
        </w:rPr>
      </w:pPr>
    </w:p>
    <w:p w14:paraId="080445C2" w14:textId="77777777" w:rsidR="00E45859" w:rsidRPr="002F3761" w:rsidRDefault="00E45859" w:rsidP="002F3761">
      <w:pPr>
        <w:rPr>
          <w:rFonts w:cs="Times New Roman"/>
          <w:szCs w:val="24"/>
        </w:rPr>
      </w:pPr>
      <w:r w:rsidRPr="002F3761">
        <w:rPr>
          <w:rFonts w:cs="Times New Roman"/>
          <w:szCs w:val="24"/>
        </w:rPr>
        <w:t>A CRPD e rendelkezése a következő mag</w:t>
      </w:r>
      <w:r w:rsidR="003148B5" w:rsidRPr="002F3761">
        <w:rPr>
          <w:rFonts w:cs="Times New Roman"/>
          <w:szCs w:val="24"/>
        </w:rPr>
        <w:t>yar szöveggel került kihirdetésre a 2007. évi XCII. törvényben:</w:t>
      </w:r>
    </w:p>
    <w:p w14:paraId="26F4E591" w14:textId="77777777" w:rsidR="003148B5" w:rsidRPr="002F3761" w:rsidRDefault="003148B5" w:rsidP="002F3761">
      <w:pPr>
        <w:rPr>
          <w:rFonts w:cs="Times New Roman"/>
          <w:szCs w:val="24"/>
        </w:rPr>
      </w:pPr>
    </w:p>
    <w:p w14:paraId="1C17A719" w14:textId="77777777" w:rsidR="00E45859" w:rsidRPr="002F3761" w:rsidRDefault="00E45859" w:rsidP="002F3761">
      <w:pPr>
        <w:ind w:left="708"/>
        <w:rPr>
          <w:rFonts w:cs="Times New Roman"/>
          <w:szCs w:val="24"/>
        </w:rPr>
      </w:pPr>
      <w:r w:rsidRPr="002F3761">
        <w:rPr>
          <w:rFonts w:cs="Times New Roman"/>
          <w:szCs w:val="24"/>
        </w:rPr>
        <w:t>„Fogyatékossággal élő személy minden olyan személy, aki hosszan tartó fizikai, értelmi, szellemi vagy érzékszervi károsodással él, amely számos egyéb akadállyal együtt korlátozhatja az adott személy teljes, hatékony és másokkal egyenlő társadalmi szerepvállalását.”</w:t>
      </w:r>
      <w:r w:rsidR="00DC0F63" w:rsidRPr="002F3761">
        <w:rPr>
          <w:rStyle w:val="Lbjegyzet-hivatkozs"/>
          <w:rFonts w:cs="Times New Roman"/>
          <w:szCs w:val="24"/>
        </w:rPr>
        <w:footnoteReference w:id="30"/>
      </w:r>
    </w:p>
    <w:p w14:paraId="52721F21" w14:textId="77777777" w:rsidR="00BF5B74" w:rsidRPr="002F3761" w:rsidRDefault="00BF5B74" w:rsidP="002F3761">
      <w:pPr>
        <w:rPr>
          <w:rFonts w:cs="Times New Roman"/>
          <w:szCs w:val="24"/>
        </w:rPr>
      </w:pPr>
    </w:p>
    <w:p w14:paraId="7F2125E7" w14:textId="5BE99B7D" w:rsidR="003148B5" w:rsidRPr="0033087A" w:rsidRDefault="003148B5" w:rsidP="002F3761">
      <w:pPr>
        <w:rPr>
          <w:rFonts w:cs="Times New Roman"/>
          <w:szCs w:val="24"/>
        </w:rPr>
      </w:pPr>
      <w:r w:rsidRPr="002F3761">
        <w:rPr>
          <w:rFonts w:cs="Times New Roman"/>
          <w:szCs w:val="24"/>
        </w:rPr>
        <w:t xml:space="preserve">Az angol </w:t>
      </w:r>
      <w:r w:rsidRPr="002F3761">
        <w:rPr>
          <w:rFonts w:cs="Times New Roman"/>
          <w:i/>
          <w:szCs w:val="24"/>
        </w:rPr>
        <w:t>include</w:t>
      </w:r>
      <w:r w:rsidR="00E45859" w:rsidRPr="002F3761">
        <w:rPr>
          <w:rFonts w:cs="Times New Roman"/>
          <w:szCs w:val="24"/>
        </w:rPr>
        <w:t xml:space="preserve"> kimaradt a magyar fordításból, így míg a CRPD angol nyelvű szövege a fogyatékossággal élő személyek fogalmával összefüggésben egy nem-taxatív felsorolást tartalmaz, addig a magyar fordítás taxatív felsorolást alkalmaz. Mindez fontos szerepet játszik a pszichoszociális fogyatékoss</w:t>
      </w:r>
      <w:r w:rsidRPr="002F3761">
        <w:rPr>
          <w:rFonts w:cs="Times New Roman"/>
          <w:szCs w:val="24"/>
        </w:rPr>
        <w:t>ág fogalmának megfogalmazásában is, mivel így bizonyos mentális károsodások</w:t>
      </w:r>
      <w:r w:rsidR="00BB6FFD" w:rsidRPr="002F3761">
        <w:rPr>
          <w:rFonts w:cs="Times New Roman"/>
          <w:szCs w:val="24"/>
        </w:rPr>
        <w:t>/pszichiátriai betegségek</w:t>
      </w:r>
      <w:r w:rsidRPr="002F3761">
        <w:rPr>
          <w:rFonts w:cs="Times New Roman"/>
          <w:szCs w:val="24"/>
        </w:rPr>
        <w:t xml:space="preserve"> </w:t>
      </w:r>
      <w:r w:rsidR="00BB6FFD" w:rsidRPr="002F3761">
        <w:rPr>
          <w:rFonts w:cs="Times New Roman"/>
          <w:szCs w:val="24"/>
        </w:rPr>
        <w:t xml:space="preserve">– </w:t>
      </w:r>
      <w:r w:rsidRPr="002F3761">
        <w:rPr>
          <w:rFonts w:cs="Times New Roman"/>
          <w:szCs w:val="24"/>
        </w:rPr>
        <w:t xml:space="preserve">a környezeti akadályokkal való kölcsönhatás következtében és a társadalmi részvétel korlátozottságát </w:t>
      </w:r>
      <w:r w:rsidR="00BB6FFD" w:rsidRPr="002F3761">
        <w:rPr>
          <w:rFonts w:cs="Times New Roman"/>
          <w:szCs w:val="24"/>
        </w:rPr>
        <w:t xml:space="preserve">eredményezve – minden bizonnyal a pszichoszociális fogyatékosság fogalmához </w:t>
      </w:r>
      <w:r w:rsidR="00BB6FFD" w:rsidRPr="002F3761">
        <w:rPr>
          <w:rFonts w:cs="Times New Roman"/>
          <w:i/>
          <w:szCs w:val="24"/>
        </w:rPr>
        <w:t>fognak tartozni</w:t>
      </w:r>
      <w:r w:rsidR="00BB6FFD" w:rsidRPr="002F3761">
        <w:rPr>
          <w:rFonts w:cs="Times New Roman"/>
          <w:szCs w:val="24"/>
        </w:rPr>
        <w:t xml:space="preserve">, míg egyéb mentális károsodások/pszichiátriai betegségek a pszichoszociális fogyatékosság fogalmához </w:t>
      </w:r>
      <w:r w:rsidR="00BB6FFD" w:rsidRPr="002F3761">
        <w:rPr>
          <w:rFonts w:cs="Times New Roman"/>
          <w:i/>
          <w:szCs w:val="24"/>
        </w:rPr>
        <w:t>tartozhatnak.</w:t>
      </w:r>
      <w:r w:rsidR="00F95428">
        <w:rPr>
          <w:rStyle w:val="Lbjegyzet-hivatkozs"/>
          <w:rFonts w:cs="Times New Roman"/>
          <w:i/>
          <w:szCs w:val="24"/>
        </w:rPr>
        <w:footnoteReference w:id="31"/>
      </w:r>
      <w:r w:rsidR="00A9691F">
        <w:rPr>
          <w:rFonts w:cs="Times New Roman"/>
          <w:szCs w:val="24"/>
        </w:rPr>
        <w:t xml:space="preserve"> </w:t>
      </w:r>
    </w:p>
    <w:p w14:paraId="514DE3ED" w14:textId="77777777" w:rsidR="00604190" w:rsidRDefault="00604190" w:rsidP="002F3761">
      <w:pPr>
        <w:rPr>
          <w:rFonts w:cs="Times New Roman"/>
          <w:i/>
          <w:szCs w:val="24"/>
        </w:rPr>
      </w:pPr>
    </w:p>
    <w:p w14:paraId="6F9F1BCC" w14:textId="77777777" w:rsidR="00A63C57" w:rsidRPr="002F3761" w:rsidRDefault="00A63C57" w:rsidP="002F3761">
      <w:pPr>
        <w:rPr>
          <w:rFonts w:cs="Times New Roman"/>
          <w:szCs w:val="24"/>
        </w:rPr>
      </w:pPr>
      <w:r w:rsidRPr="002F3761">
        <w:rPr>
          <w:rFonts w:cs="Times New Roman"/>
          <w:szCs w:val="24"/>
        </w:rPr>
        <w:lastRenderedPageBreak/>
        <w:t>Ez a tanulmány alapvetően a pszichoszociális fogyatékosság fogalmát használja, de ahol jogszabály vagy más dokumentum ettől eltérő terminológiát alkalmaz, abban az esetben – a forrás szóhasználatát megőrizendő – azt veszi át.</w:t>
      </w:r>
    </w:p>
    <w:p w14:paraId="55D0BC24" w14:textId="77777777" w:rsidR="00D10B1E" w:rsidRPr="002F3761" w:rsidRDefault="00D10B1E" w:rsidP="002F3761">
      <w:pPr>
        <w:rPr>
          <w:rFonts w:cs="Times New Roman"/>
          <w:szCs w:val="24"/>
        </w:rPr>
      </w:pPr>
    </w:p>
    <w:p w14:paraId="31D8A75C" w14:textId="43580314" w:rsidR="005A7053" w:rsidRPr="000B427C" w:rsidRDefault="0033087A" w:rsidP="000B427C">
      <w:pPr>
        <w:pStyle w:val="Cmsor2"/>
        <w:rPr>
          <w:rFonts w:ascii="Times New Roman" w:hAnsi="Times New Roman" w:cs="Times New Roman"/>
          <w:color w:val="auto"/>
        </w:rPr>
      </w:pPr>
      <w:bookmarkStart w:id="11" w:name="_Toc451515101"/>
      <w:r w:rsidRPr="000B427C">
        <w:rPr>
          <w:rFonts w:ascii="Times New Roman" w:hAnsi="Times New Roman" w:cs="Times New Roman"/>
          <w:color w:val="auto"/>
        </w:rPr>
        <w:t>1.3.</w:t>
      </w:r>
      <w:r w:rsidR="00CF4E97" w:rsidRPr="000B427C">
        <w:rPr>
          <w:rFonts w:ascii="Times New Roman" w:hAnsi="Times New Roman" w:cs="Times New Roman"/>
          <w:color w:val="auto"/>
        </w:rPr>
        <w:t xml:space="preserve"> </w:t>
      </w:r>
      <w:r w:rsidR="005A7053" w:rsidRPr="000B427C">
        <w:rPr>
          <w:rFonts w:ascii="Times New Roman" w:hAnsi="Times New Roman" w:cs="Times New Roman"/>
          <w:color w:val="auto"/>
        </w:rPr>
        <w:t>E</w:t>
      </w:r>
      <w:r w:rsidR="00170BCF" w:rsidRPr="000B427C">
        <w:rPr>
          <w:rFonts w:ascii="Times New Roman" w:hAnsi="Times New Roman" w:cs="Times New Roman"/>
          <w:color w:val="auto"/>
        </w:rPr>
        <w:t>m</w:t>
      </w:r>
      <w:r w:rsidR="005A7053" w:rsidRPr="000B427C">
        <w:rPr>
          <w:rFonts w:ascii="Times New Roman" w:hAnsi="Times New Roman" w:cs="Times New Roman"/>
          <w:color w:val="auto"/>
        </w:rPr>
        <w:t>beri jogi paradigma</w:t>
      </w:r>
      <w:bookmarkEnd w:id="11"/>
    </w:p>
    <w:p w14:paraId="5F993E99" w14:textId="77777777" w:rsidR="00476208" w:rsidRPr="002F3761" w:rsidRDefault="00476208" w:rsidP="002F3761">
      <w:pPr>
        <w:rPr>
          <w:rFonts w:cs="Times New Roman"/>
          <w:szCs w:val="24"/>
        </w:rPr>
      </w:pPr>
    </w:p>
    <w:p w14:paraId="15036D0B" w14:textId="3E7645DC" w:rsidR="00AC66EA" w:rsidRPr="002F3761" w:rsidRDefault="000B4405" w:rsidP="002F3761">
      <w:pPr>
        <w:rPr>
          <w:rFonts w:cs="Times New Roman"/>
          <w:szCs w:val="24"/>
        </w:rPr>
      </w:pPr>
      <w:r w:rsidRPr="002F3761">
        <w:rPr>
          <w:rFonts w:cs="Times New Roman"/>
          <w:szCs w:val="24"/>
        </w:rPr>
        <w:t>A CRPD preambuluma a fent idézett 1. cikkel összhangban elismeri, hogy „a fo</w:t>
      </w:r>
      <w:r w:rsidR="00CB1757">
        <w:rPr>
          <w:rFonts w:cs="Times New Roman"/>
          <w:szCs w:val="24"/>
        </w:rPr>
        <w:t>gyatékosság</w:t>
      </w:r>
      <w:r w:rsidRPr="002F3761">
        <w:rPr>
          <w:rFonts w:cs="Times New Roman"/>
          <w:szCs w:val="24"/>
        </w:rPr>
        <w:t xml:space="preserve"> a fogyatékossággal élő személyek és az attitűdbeli, illetve a környezeti akadályok kölcsönhatásának következménye, amely gátolja őket a társadalomban való teljes és hatékony, másokkal azonos alapon történő részvételben.”</w:t>
      </w:r>
      <w:r w:rsidRPr="002F3761">
        <w:rPr>
          <w:rStyle w:val="Lbjegyzet-hivatkozs"/>
          <w:rFonts w:cs="Times New Roman"/>
          <w:szCs w:val="24"/>
        </w:rPr>
        <w:footnoteReference w:id="32"/>
      </w:r>
      <w:r w:rsidRPr="002F3761">
        <w:rPr>
          <w:rFonts w:cs="Times New Roman"/>
          <w:szCs w:val="24"/>
        </w:rPr>
        <w:t xml:space="preserve"> A </w:t>
      </w:r>
      <w:r w:rsidR="00451056" w:rsidRPr="002F3761">
        <w:rPr>
          <w:rFonts w:cs="Times New Roman"/>
          <w:szCs w:val="24"/>
        </w:rPr>
        <w:t xml:space="preserve">fogyatékosság emberi jogi </w:t>
      </w:r>
      <w:r w:rsidR="00AC66EA" w:rsidRPr="002F3761">
        <w:rPr>
          <w:rFonts w:cs="Times New Roman"/>
          <w:szCs w:val="24"/>
        </w:rPr>
        <w:t>paradigmájának rövi</w:t>
      </w:r>
      <w:r w:rsidR="001D1FC2">
        <w:rPr>
          <w:rFonts w:cs="Times New Roman"/>
          <w:szCs w:val="24"/>
        </w:rPr>
        <w:t xml:space="preserve">d, lényegre törő megfogalmazását adja a </w:t>
      </w:r>
      <w:r w:rsidR="00E60D4D">
        <w:rPr>
          <w:rFonts w:cs="Times New Roman"/>
          <w:szCs w:val="24"/>
        </w:rPr>
        <w:t>CRPD nyit</w:t>
      </w:r>
      <w:r w:rsidR="001D1FC2">
        <w:rPr>
          <w:rFonts w:cs="Times New Roman"/>
          <w:szCs w:val="24"/>
        </w:rPr>
        <w:t>ócikke</w:t>
      </w:r>
      <w:r w:rsidR="00E60D4D">
        <w:rPr>
          <w:rFonts w:cs="Times New Roman"/>
          <w:szCs w:val="24"/>
        </w:rPr>
        <w:t>:</w:t>
      </w:r>
    </w:p>
    <w:p w14:paraId="3F7B0355" w14:textId="77777777" w:rsidR="00AC66EA" w:rsidRPr="002F3761" w:rsidRDefault="00AC66EA" w:rsidP="002F3761">
      <w:pPr>
        <w:rPr>
          <w:rFonts w:cs="Times New Roman"/>
          <w:szCs w:val="24"/>
        </w:rPr>
      </w:pPr>
    </w:p>
    <w:p w14:paraId="6D3BA087" w14:textId="53D0F0F5" w:rsidR="00AC66EA" w:rsidRPr="002F3761" w:rsidRDefault="00451056" w:rsidP="002F3761">
      <w:pPr>
        <w:ind w:left="708"/>
        <w:rPr>
          <w:rFonts w:cs="Times New Roman"/>
          <w:szCs w:val="24"/>
        </w:rPr>
      </w:pPr>
      <w:r w:rsidRPr="002F3761">
        <w:rPr>
          <w:rFonts w:cs="Times New Roman"/>
          <w:szCs w:val="24"/>
        </w:rPr>
        <w:t>„</w:t>
      </w:r>
      <w:r w:rsidR="00E60D4D">
        <w:rPr>
          <w:rFonts w:cs="Times New Roman"/>
          <w:szCs w:val="24"/>
        </w:rPr>
        <w:t>[A</w:t>
      </w:r>
      <w:r w:rsidR="00AC66EA" w:rsidRPr="002F3761">
        <w:rPr>
          <w:rFonts w:cs="Times New Roman"/>
          <w:szCs w:val="24"/>
        </w:rPr>
        <w:t xml:space="preserve"> cél] </w:t>
      </w:r>
      <w:r w:rsidRPr="002F3761">
        <w:rPr>
          <w:rFonts w:cs="Times New Roman"/>
          <w:szCs w:val="24"/>
        </w:rPr>
        <w:t>valamennyi emberi jog és alapvető szabadság teljes és egyenlő gyakorlásának előmozdítása, védelme és biztosítása valamennyi fogyatékossággal élő személy számára, és a velük született méltóság tisztele</w:t>
      </w:r>
      <w:r w:rsidR="000B4405" w:rsidRPr="002F3761">
        <w:rPr>
          <w:rFonts w:cs="Times New Roman"/>
          <w:szCs w:val="24"/>
        </w:rPr>
        <w:t>tben tartásának előmozdítása.”</w:t>
      </w:r>
      <w:r w:rsidR="000B4405" w:rsidRPr="002F3761">
        <w:rPr>
          <w:rStyle w:val="Lbjegyzet-hivatkozs"/>
          <w:rFonts w:cs="Times New Roman"/>
          <w:szCs w:val="24"/>
        </w:rPr>
        <w:footnoteReference w:id="33"/>
      </w:r>
    </w:p>
    <w:p w14:paraId="238A5447" w14:textId="77777777" w:rsidR="00AC66EA" w:rsidRPr="002F3761" w:rsidRDefault="00AC66EA" w:rsidP="002F3761">
      <w:pPr>
        <w:rPr>
          <w:rFonts w:cs="Times New Roman"/>
          <w:szCs w:val="24"/>
        </w:rPr>
      </w:pPr>
    </w:p>
    <w:p w14:paraId="0CCFFDBD" w14:textId="24214811" w:rsidR="000A3B6C" w:rsidRPr="002F3761" w:rsidRDefault="00451056" w:rsidP="002F3761">
      <w:pPr>
        <w:rPr>
          <w:rFonts w:cs="Times New Roman"/>
          <w:szCs w:val="24"/>
        </w:rPr>
      </w:pPr>
      <w:r w:rsidRPr="002F3761">
        <w:rPr>
          <w:rFonts w:cs="Times New Roman"/>
          <w:szCs w:val="24"/>
        </w:rPr>
        <w:t xml:space="preserve">A CRPD és az </w:t>
      </w:r>
      <w:r w:rsidRPr="001D1FC2">
        <w:rPr>
          <w:rFonts w:cs="Times New Roman"/>
          <w:i/>
          <w:szCs w:val="24"/>
        </w:rPr>
        <w:t>emberi jogi modell</w:t>
      </w:r>
      <w:r w:rsidRPr="002F3761">
        <w:rPr>
          <w:rFonts w:cs="Times New Roman"/>
          <w:szCs w:val="24"/>
        </w:rPr>
        <w:t xml:space="preserve"> minden fogyatékossággal élő </w:t>
      </w:r>
      <w:proofErr w:type="gramStart"/>
      <w:r w:rsidRPr="002F3761">
        <w:rPr>
          <w:rFonts w:cs="Times New Roman"/>
          <w:szCs w:val="24"/>
        </w:rPr>
        <w:t>személyre</w:t>
      </w:r>
      <w:proofErr w:type="gramEnd"/>
      <w:r w:rsidRPr="002F3761">
        <w:rPr>
          <w:rFonts w:cs="Times New Roman"/>
          <w:szCs w:val="24"/>
        </w:rPr>
        <w:t xml:space="preserve"> mint jogok alanyaira, és mint az emberi sokszín</w:t>
      </w:r>
      <w:r w:rsidR="000B4405" w:rsidRPr="002F3761">
        <w:rPr>
          <w:rFonts w:cs="Times New Roman"/>
          <w:szCs w:val="24"/>
        </w:rPr>
        <w:t>űség megnyilvánulására tekint.</w:t>
      </w:r>
      <w:r w:rsidR="000B4405" w:rsidRPr="002F3761">
        <w:rPr>
          <w:rStyle w:val="Lbjegyzet-hivatkozs"/>
          <w:rFonts w:cs="Times New Roman"/>
          <w:szCs w:val="24"/>
        </w:rPr>
        <w:footnoteReference w:id="34"/>
      </w:r>
      <w:r w:rsidRPr="002F3761">
        <w:rPr>
          <w:rFonts w:cs="Times New Roman"/>
          <w:szCs w:val="24"/>
        </w:rPr>
        <w:t xml:space="preserve"> Az emberi jogi modell alapelvei magukban foglalják, hogy a fogyatékossággal élő személyek saját </w:t>
      </w:r>
      <w:r w:rsidR="000B4405" w:rsidRPr="002F3761">
        <w:rPr>
          <w:rFonts w:cs="Times New Roman"/>
          <w:szCs w:val="24"/>
        </w:rPr>
        <w:t>maguk hozzák meg döntéseiket,</w:t>
      </w:r>
      <w:r w:rsidR="000B4405" w:rsidRPr="002F3761">
        <w:rPr>
          <w:rStyle w:val="Lbjegyzet-hivatkozs"/>
          <w:rFonts w:cs="Times New Roman"/>
          <w:szCs w:val="24"/>
        </w:rPr>
        <w:footnoteReference w:id="35"/>
      </w:r>
      <w:r w:rsidRPr="002F3761">
        <w:rPr>
          <w:rFonts w:cs="Times New Roman"/>
          <w:szCs w:val="24"/>
        </w:rPr>
        <w:t xml:space="preserve"> és hogy minden, az életüket érintő döntési folyama</w:t>
      </w:r>
      <w:r w:rsidR="000B4405" w:rsidRPr="002F3761">
        <w:rPr>
          <w:rFonts w:cs="Times New Roman"/>
          <w:szCs w:val="24"/>
        </w:rPr>
        <w:t>tban aktívan részt vesznek.</w:t>
      </w:r>
      <w:r w:rsidR="000B4405" w:rsidRPr="002F3761">
        <w:rPr>
          <w:rStyle w:val="Lbjegyzet-hivatkozs"/>
          <w:rFonts w:cs="Times New Roman"/>
          <w:szCs w:val="24"/>
        </w:rPr>
        <w:footnoteReference w:id="36"/>
      </w:r>
    </w:p>
    <w:p w14:paraId="2245FC40" w14:textId="77777777" w:rsidR="000B4405" w:rsidRPr="002F3761" w:rsidRDefault="000B4405" w:rsidP="002F3761">
      <w:pPr>
        <w:rPr>
          <w:rFonts w:cs="Times New Roman"/>
          <w:szCs w:val="24"/>
        </w:rPr>
      </w:pPr>
    </w:p>
    <w:p w14:paraId="71EAECC0" w14:textId="6DBD65AC" w:rsidR="000A3B6C" w:rsidRPr="002F3761" w:rsidRDefault="000B4405" w:rsidP="002F3761">
      <w:pPr>
        <w:rPr>
          <w:rFonts w:cs="Times New Roman"/>
          <w:szCs w:val="24"/>
        </w:rPr>
      </w:pPr>
      <w:r w:rsidRPr="002F3761">
        <w:rPr>
          <w:rFonts w:cs="Times New Roman"/>
          <w:szCs w:val="24"/>
        </w:rPr>
        <w:t xml:space="preserve">Az emberi jogi paradigma kapcsán a fogyatékosság </w:t>
      </w:r>
      <w:proofErr w:type="spellStart"/>
      <w:r w:rsidRPr="001D1FC2">
        <w:rPr>
          <w:rFonts w:cs="Times New Roman"/>
          <w:i/>
          <w:szCs w:val="24"/>
        </w:rPr>
        <w:t>medikális</w:t>
      </w:r>
      <w:proofErr w:type="spellEnd"/>
      <w:r w:rsidRPr="001D1FC2">
        <w:rPr>
          <w:rFonts w:cs="Times New Roman"/>
          <w:i/>
          <w:szCs w:val="24"/>
        </w:rPr>
        <w:t xml:space="preserve"> modelljéhez</w:t>
      </w:r>
      <w:r w:rsidRPr="002F3761">
        <w:rPr>
          <w:rFonts w:cs="Times New Roman"/>
          <w:szCs w:val="24"/>
        </w:rPr>
        <w:t xml:space="preserve"> képest paradigmaváltásról kell beszélni, hiszen az orvosi modell kulcsszavai a képtelenség, képesség hiánya és az asszimiláció. Az utolsó kifejezés arra utal, hogy a fogyatékossággal élő embereknek ugyanolyanoknak kellene lenniük, mint a nem fogyatékos embereknek. Ha pedig a fogyatékossággal élő emberek ezt nem tudják megtenni,</w:t>
      </w:r>
      <w:r w:rsidR="005E3630">
        <w:rPr>
          <w:rFonts w:cs="Times New Roman"/>
          <w:szCs w:val="24"/>
        </w:rPr>
        <w:t xml:space="preserve"> ki kell őket rekeszteni.</w:t>
      </w:r>
      <w:r w:rsidRPr="002F3761">
        <w:rPr>
          <w:rFonts w:cs="Times New Roman"/>
          <w:szCs w:val="24"/>
        </w:rPr>
        <w:t xml:space="preserve"> Ez a modell, ennélfogva, bátorítja az előítéleteket, a fogyatékossággal élő személyek megbélyegzését, kirekesztését és diszkriminációját.</w:t>
      </w:r>
      <w:r w:rsidRPr="002F3761">
        <w:rPr>
          <w:rStyle w:val="Lbjegyzet-hivatkozs"/>
          <w:rFonts w:cs="Times New Roman"/>
          <w:szCs w:val="24"/>
        </w:rPr>
        <w:footnoteReference w:id="37"/>
      </w:r>
      <w:r w:rsidR="006770A0" w:rsidRPr="002F3761">
        <w:rPr>
          <w:rFonts w:cs="Times New Roman"/>
          <w:szCs w:val="24"/>
        </w:rPr>
        <w:t xml:space="preserve"> Mivel ez a megközelítés a fogyatékosságot olyan jelenségnek tekinti, melyet betegség vagy más egészségügyi körülmény, avagy baleset idézett elő, és amely </w:t>
      </w:r>
      <w:r w:rsidR="00AC66EA" w:rsidRPr="002F3761">
        <w:rPr>
          <w:rFonts w:cs="Times New Roman"/>
          <w:szCs w:val="24"/>
        </w:rPr>
        <w:t xml:space="preserve">– akár az érintett személy akarata ellenére is – </w:t>
      </w:r>
      <w:r w:rsidR="006770A0" w:rsidRPr="002F3761">
        <w:rPr>
          <w:rFonts w:cs="Times New Roman"/>
          <w:szCs w:val="24"/>
        </w:rPr>
        <w:t>orvosi</w:t>
      </w:r>
      <w:r w:rsidR="00AC66EA" w:rsidRPr="002F3761">
        <w:rPr>
          <w:rFonts w:cs="Times New Roman"/>
          <w:szCs w:val="24"/>
        </w:rPr>
        <w:t xml:space="preserve"> </w:t>
      </w:r>
      <w:r w:rsidR="006770A0" w:rsidRPr="002F3761">
        <w:rPr>
          <w:rFonts w:cs="Times New Roman"/>
          <w:szCs w:val="24"/>
        </w:rPr>
        <w:t>beavatkozás</w:t>
      </w:r>
      <w:r w:rsidR="00BF5B74" w:rsidRPr="002F3761">
        <w:rPr>
          <w:rFonts w:cs="Times New Roman"/>
          <w:szCs w:val="24"/>
        </w:rPr>
        <w:t>t, gyógyítást igényel</w:t>
      </w:r>
      <w:r w:rsidR="006770A0" w:rsidRPr="002F3761">
        <w:rPr>
          <w:rFonts w:cs="Times New Roman"/>
          <w:szCs w:val="24"/>
        </w:rPr>
        <w:t>, ezért ez a megközelítés a fogyatékosság orvosi modelljeként vált ismertté.</w:t>
      </w:r>
      <w:r w:rsidR="006770A0" w:rsidRPr="002F3761">
        <w:rPr>
          <w:rStyle w:val="Lbjegyzet-hivatkozs"/>
          <w:rFonts w:cs="Times New Roman"/>
          <w:szCs w:val="24"/>
        </w:rPr>
        <w:footnoteReference w:id="38"/>
      </w:r>
    </w:p>
    <w:p w14:paraId="5C898938" w14:textId="77777777" w:rsidR="006770A0" w:rsidRPr="002F3761" w:rsidRDefault="006770A0" w:rsidP="002F3761">
      <w:pPr>
        <w:rPr>
          <w:rFonts w:cs="Times New Roman"/>
          <w:szCs w:val="24"/>
        </w:rPr>
      </w:pPr>
    </w:p>
    <w:p w14:paraId="236212C5" w14:textId="77777777" w:rsidR="00BF5B74" w:rsidRPr="002F3761" w:rsidRDefault="00BF5B74" w:rsidP="002F3761">
      <w:pPr>
        <w:rPr>
          <w:rFonts w:cs="Times New Roman"/>
          <w:szCs w:val="24"/>
        </w:rPr>
      </w:pPr>
      <w:r w:rsidRPr="002F3761">
        <w:rPr>
          <w:rFonts w:cs="Times New Roman"/>
          <w:szCs w:val="24"/>
        </w:rPr>
        <w:t xml:space="preserve">A bemutatott paradigmaváltás nem tagadja a károsodás jelenlétét, vagy </w:t>
      </w:r>
      <w:r w:rsidR="00AC66EA" w:rsidRPr="002F3761">
        <w:rPr>
          <w:rFonts w:cs="Times New Roman"/>
          <w:szCs w:val="24"/>
        </w:rPr>
        <w:t xml:space="preserve">– az érintett személy tájékoztatáson alapuló beleegyezését követő – </w:t>
      </w:r>
      <w:r w:rsidRPr="002F3761">
        <w:rPr>
          <w:rFonts w:cs="Times New Roman"/>
          <w:szCs w:val="24"/>
        </w:rPr>
        <w:t xml:space="preserve">kezelések hasznosságát, azonban </w:t>
      </w:r>
      <w:r w:rsidRPr="002F3761">
        <w:rPr>
          <w:rFonts w:cs="Times New Roman"/>
          <w:szCs w:val="24"/>
        </w:rPr>
        <w:lastRenderedPageBreak/>
        <w:t>megkérdőjelez és elvet minden olyan a károsodáshoz kapcsolódó mítoszt, ideológiát és stigmát, amely a társadalmi interakciókat, a jogalkotást és a jogalkalmazást befolyásolja.</w:t>
      </w:r>
      <w:r w:rsidRPr="002F3761">
        <w:rPr>
          <w:rStyle w:val="Lbjegyzet-hivatkozs"/>
          <w:rFonts w:cs="Times New Roman"/>
          <w:szCs w:val="24"/>
        </w:rPr>
        <w:footnoteReference w:id="39"/>
      </w:r>
    </w:p>
    <w:p w14:paraId="30D3CB8E" w14:textId="77777777" w:rsidR="008E3442" w:rsidRDefault="008E3442" w:rsidP="002F3761">
      <w:pPr>
        <w:rPr>
          <w:rFonts w:cs="Times New Roman"/>
          <w:szCs w:val="24"/>
        </w:rPr>
      </w:pPr>
    </w:p>
    <w:p w14:paraId="45C441A1" w14:textId="11B8D91F" w:rsidR="00E4175E" w:rsidRPr="000B427C" w:rsidRDefault="00E4175E" w:rsidP="000B427C">
      <w:pPr>
        <w:pStyle w:val="Cmsor1"/>
        <w:rPr>
          <w:rFonts w:ascii="Times New Roman" w:hAnsi="Times New Roman" w:cs="Times New Roman"/>
          <w:color w:val="auto"/>
        </w:rPr>
      </w:pPr>
      <w:bookmarkStart w:id="12" w:name="_Toc451515102"/>
      <w:r w:rsidRPr="000B427C">
        <w:rPr>
          <w:rFonts w:ascii="Times New Roman" w:hAnsi="Times New Roman" w:cs="Times New Roman"/>
          <w:color w:val="auto"/>
        </w:rPr>
        <w:t xml:space="preserve">2. A pszichoszociális fogyatékossággal élő személyek </w:t>
      </w:r>
      <w:r w:rsidR="00E60D4D">
        <w:rPr>
          <w:rFonts w:ascii="Times New Roman" w:hAnsi="Times New Roman" w:cs="Times New Roman"/>
          <w:color w:val="auto"/>
        </w:rPr>
        <w:t xml:space="preserve">és a számukra nyújtott ellátások </w:t>
      </w:r>
      <w:r w:rsidRPr="000B427C">
        <w:rPr>
          <w:rFonts w:ascii="Times New Roman" w:hAnsi="Times New Roman" w:cs="Times New Roman"/>
          <w:color w:val="auto"/>
        </w:rPr>
        <w:t>magyarországi helyzetének rövid összefoglalása</w:t>
      </w:r>
      <w:bookmarkEnd w:id="12"/>
    </w:p>
    <w:p w14:paraId="1CEE9C85" w14:textId="77777777" w:rsidR="00E4175E" w:rsidRPr="00E4175E" w:rsidRDefault="00E4175E" w:rsidP="00E4175E">
      <w:pPr>
        <w:rPr>
          <w:rFonts w:cs="Times New Roman"/>
          <w:szCs w:val="24"/>
        </w:rPr>
      </w:pPr>
    </w:p>
    <w:p w14:paraId="08F74913" w14:textId="347B109D" w:rsidR="00E4175E" w:rsidRDefault="001A1ECD" w:rsidP="00E4175E">
      <w:pPr>
        <w:rPr>
          <w:rFonts w:cs="Times New Roman"/>
          <w:szCs w:val="24"/>
        </w:rPr>
      </w:pPr>
      <w:r>
        <w:rPr>
          <w:rFonts w:cs="Times New Roman"/>
          <w:szCs w:val="24"/>
        </w:rPr>
        <w:t xml:space="preserve">A </w:t>
      </w:r>
      <w:r w:rsidR="0002668C">
        <w:rPr>
          <w:rFonts w:cs="Times New Roman"/>
          <w:szCs w:val="24"/>
        </w:rPr>
        <w:t xml:space="preserve">Magyarországon élő </w:t>
      </w:r>
      <w:r>
        <w:rPr>
          <w:rFonts w:cs="Times New Roman"/>
          <w:szCs w:val="24"/>
        </w:rPr>
        <w:t xml:space="preserve">pszichoszociális károsodással élő személyek száma – az irányadó definíció hiányában – nem </w:t>
      </w:r>
      <w:r w:rsidR="0002668C">
        <w:rPr>
          <w:rFonts w:cs="Times New Roman"/>
          <w:szCs w:val="24"/>
        </w:rPr>
        <w:t xml:space="preserve">határozható meg pontosan. </w:t>
      </w:r>
      <w:r w:rsidR="00E4175E" w:rsidRPr="00E4175E">
        <w:rPr>
          <w:rFonts w:cs="Times New Roman"/>
          <w:szCs w:val="24"/>
        </w:rPr>
        <w:t>Egy 2009-es tanulmány szerint a nyilvántartott pszichiátriai betegek száma dinamikusan nő, egyre több embert kezelnek pszichiátriai betegséggel Magyarországon: 2007-ben 146.029 személyt tartottak nyilván a pszichiátriai gondozókban.</w:t>
      </w:r>
      <w:r w:rsidR="00E4175E" w:rsidRPr="00E4175E">
        <w:rPr>
          <w:rFonts w:cs="Times New Roman"/>
          <w:szCs w:val="24"/>
          <w:vertAlign w:val="superscript"/>
        </w:rPr>
        <w:footnoteReference w:id="40"/>
      </w:r>
      <w:r w:rsidR="00E4175E" w:rsidRPr="00E4175E">
        <w:rPr>
          <w:rFonts w:cs="Times New Roman"/>
          <w:szCs w:val="24"/>
        </w:rPr>
        <w:t xml:space="preserve"> Egy évvel később, 2008-ban, 7.943 személy élt pszichiátriai betegek tartós bentlakást nyújtó intézetében és 310 személy élt pszichiátriai betegek lakóotthonában.</w:t>
      </w:r>
      <w:r w:rsidR="00E4175E" w:rsidRPr="00E4175E">
        <w:rPr>
          <w:rFonts w:cs="Times New Roman"/>
          <w:szCs w:val="24"/>
          <w:vertAlign w:val="superscript"/>
        </w:rPr>
        <w:footnoteReference w:id="41"/>
      </w:r>
      <w:r w:rsidR="00E4175E" w:rsidRPr="00E4175E">
        <w:rPr>
          <w:rFonts w:cs="Times New Roman"/>
          <w:szCs w:val="24"/>
        </w:rPr>
        <w:t xml:space="preserve"> 2013-ban a pszichiátriai betegek tartós bentlakást nyújtó intézeteiben már 8.495 személy volt elhelyezve, míg pszichiátriai betegek lakóotthonában 265 személy.</w:t>
      </w:r>
      <w:r w:rsidR="00E4175E" w:rsidRPr="00E4175E">
        <w:rPr>
          <w:rFonts w:cs="Times New Roman"/>
          <w:szCs w:val="24"/>
          <w:vertAlign w:val="superscript"/>
        </w:rPr>
        <w:footnoteReference w:id="42"/>
      </w:r>
      <w:r w:rsidR="0092178D">
        <w:rPr>
          <w:rFonts w:cs="Times New Roman"/>
          <w:szCs w:val="24"/>
        </w:rPr>
        <w:t xml:space="preserve"> Egy 2012-es </w:t>
      </w:r>
      <w:r w:rsidR="0092178D" w:rsidRPr="0092178D">
        <w:rPr>
          <w:rFonts w:cs="Times New Roman"/>
          <w:szCs w:val="24"/>
        </w:rPr>
        <w:t xml:space="preserve">Állami Számvevőszéki </w:t>
      </w:r>
      <w:r w:rsidR="0002580C">
        <w:rPr>
          <w:rFonts w:cs="Times New Roman"/>
          <w:szCs w:val="24"/>
        </w:rPr>
        <w:t xml:space="preserve">(a továbbiakban: ÁSZ) </w:t>
      </w:r>
      <w:r w:rsidR="0092178D" w:rsidRPr="0092178D">
        <w:rPr>
          <w:rFonts w:cs="Times New Roman"/>
          <w:szCs w:val="24"/>
        </w:rPr>
        <w:t>jelentés</w:t>
      </w:r>
      <w:r w:rsidR="0092178D" w:rsidRPr="0092178D">
        <w:rPr>
          <w:rFonts w:cs="Times New Roman"/>
          <w:szCs w:val="24"/>
          <w:vertAlign w:val="superscript"/>
        </w:rPr>
        <w:footnoteReference w:id="43"/>
      </w:r>
      <w:r w:rsidR="0092178D">
        <w:rPr>
          <w:rFonts w:cs="Times New Roman"/>
          <w:szCs w:val="24"/>
        </w:rPr>
        <w:t xml:space="preserve"> szerint </w:t>
      </w:r>
      <w:r w:rsidR="0002580C">
        <w:rPr>
          <w:rFonts w:cs="Times New Roman"/>
          <w:szCs w:val="24"/>
        </w:rPr>
        <w:t>Magyarországon a pszichiátriai krónikus betegségek (pl. a skizofrénia, a depresszió, a demencia) sok százezer embert érintenek.</w:t>
      </w:r>
      <w:r w:rsidR="0002580C">
        <w:rPr>
          <w:rStyle w:val="Lbjegyzet-hivatkozs"/>
          <w:rFonts w:cs="Times New Roman"/>
          <w:szCs w:val="24"/>
        </w:rPr>
        <w:footnoteReference w:id="44"/>
      </w:r>
    </w:p>
    <w:p w14:paraId="60B93E68" w14:textId="77777777" w:rsidR="002C7AAC" w:rsidRDefault="002C7AAC" w:rsidP="00E4175E">
      <w:pPr>
        <w:rPr>
          <w:rFonts w:cs="Times New Roman"/>
          <w:szCs w:val="24"/>
        </w:rPr>
      </w:pPr>
    </w:p>
    <w:p w14:paraId="3D9C00DC" w14:textId="07583E0B" w:rsidR="002C7AAC" w:rsidRPr="00E4175E" w:rsidRDefault="00E07A18" w:rsidP="00E4175E">
      <w:pPr>
        <w:rPr>
          <w:rFonts w:cs="Times New Roman"/>
          <w:szCs w:val="24"/>
        </w:rPr>
      </w:pPr>
      <w:r>
        <w:rPr>
          <w:rFonts w:cs="Times New Roman"/>
          <w:szCs w:val="24"/>
        </w:rPr>
        <w:t>Egy 2010-es, a mentális egészségről készült Eurobarometer jelentés</w:t>
      </w:r>
      <w:r>
        <w:rPr>
          <w:rStyle w:val="Lbjegyzet-hivatkozs"/>
          <w:rFonts w:cs="Times New Roman"/>
          <w:szCs w:val="24"/>
        </w:rPr>
        <w:footnoteReference w:id="45"/>
      </w:r>
      <w:r>
        <w:rPr>
          <w:rFonts w:cs="Times New Roman"/>
          <w:szCs w:val="24"/>
        </w:rPr>
        <w:t xml:space="preserve"> arra mutatott rá, hogy „úgy tűnik, a magyar válaszadók érzelmi tapasztalatai negatívabbak, mint az átlag európaiaké.” Azok aránya, akik antidepresszánsokat szedtek a kutatást megelőző 12 hónapban, megegyezett az EU átlaggal, mely a megkérdezettek 7%-át jelenti. </w:t>
      </w:r>
      <w:r w:rsidR="00D72E9F">
        <w:rPr>
          <w:rFonts w:cs="Times New Roman"/>
          <w:szCs w:val="24"/>
        </w:rPr>
        <w:t>Mindemellett a</w:t>
      </w:r>
      <w:r>
        <w:rPr>
          <w:rFonts w:cs="Times New Roman"/>
          <w:szCs w:val="24"/>
        </w:rPr>
        <w:t xml:space="preserve">z </w:t>
      </w:r>
      <w:r w:rsidR="00D72E9F">
        <w:rPr>
          <w:rFonts w:cs="Times New Roman"/>
          <w:szCs w:val="24"/>
        </w:rPr>
        <w:t xml:space="preserve">EU </w:t>
      </w:r>
      <w:r>
        <w:rPr>
          <w:rFonts w:cs="Times New Roman"/>
          <w:szCs w:val="24"/>
        </w:rPr>
        <w:t xml:space="preserve">átlagnál </w:t>
      </w:r>
      <w:r w:rsidR="00D72E9F">
        <w:rPr>
          <w:rFonts w:cs="Times New Roman"/>
          <w:szCs w:val="24"/>
        </w:rPr>
        <w:t xml:space="preserve">(47%) </w:t>
      </w:r>
      <w:r>
        <w:rPr>
          <w:rFonts w:cs="Times New Roman"/>
          <w:szCs w:val="24"/>
        </w:rPr>
        <w:t xml:space="preserve">valamivel több magyar ember </w:t>
      </w:r>
      <w:r w:rsidR="001D1FC2">
        <w:rPr>
          <w:rFonts w:cs="Times New Roman"/>
          <w:szCs w:val="24"/>
        </w:rPr>
        <w:t xml:space="preserve">(52%) </w:t>
      </w:r>
      <w:r>
        <w:rPr>
          <w:rFonts w:cs="Times New Roman"/>
          <w:szCs w:val="24"/>
        </w:rPr>
        <w:t>szedett antidepresszánsokat szorongás miat</w:t>
      </w:r>
      <w:r w:rsidR="001D1FC2">
        <w:rPr>
          <w:rFonts w:cs="Times New Roman"/>
          <w:szCs w:val="24"/>
        </w:rPr>
        <w:t>t</w:t>
      </w:r>
      <w:r w:rsidR="00D72E9F">
        <w:rPr>
          <w:rFonts w:cs="Times New Roman"/>
          <w:szCs w:val="24"/>
        </w:rPr>
        <w:t>.</w:t>
      </w:r>
    </w:p>
    <w:p w14:paraId="15169455" w14:textId="77777777" w:rsidR="00E4175E" w:rsidRDefault="00E4175E" w:rsidP="002F3761">
      <w:pPr>
        <w:rPr>
          <w:rFonts w:cs="Times New Roman"/>
          <w:szCs w:val="24"/>
        </w:rPr>
      </w:pPr>
    </w:p>
    <w:p w14:paraId="1E45485D" w14:textId="1792C3A2" w:rsidR="00E4175E" w:rsidRDefault="0002580C" w:rsidP="002F3761">
      <w:pPr>
        <w:rPr>
          <w:rFonts w:cs="Times New Roman"/>
          <w:szCs w:val="24"/>
        </w:rPr>
      </w:pPr>
      <w:r>
        <w:rPr>
          <w:rFonts w:cs="Times New Roman"/>
          <w:szCs w:val="24"/>
        </w:rPr>
        <w:t xml:space="preserve">Az említett </w:t>
      </w:r>
      <w:r w:rsidR="008E3442">
        <w:rPr>
          <w:rFonts w:cs="Times New Roman"/>
          <w:szCs w:val="24"/>
        </w:rPr>
        <w:t>2012-es Á</w:t>
      </w:r>
      <w:r>
        <w:rPr>
          <w:rFonts w:cs="Times New Roman"/>
          <w:szCs w:val="24"/>
        </w:rPr>
        <w:t>SZ</w:t>
      </w:r>
      <w:r w:rsidR="007D0C73">
        <w:rPr>
          <w:rFonts w:cs="Times New Roman"/>
          <w:szCs w:val="24"/>
        </w:rPr>
        <w:t xml:space="preserve"> </w:t>
      </w:r>
      <w:r w:rsidR="008E3442">
        <w:rPr>
          <w:rFonts w:cs="Times New Roman"/>
          <w:szCs w:val="24"/>
        </w:rPr>
        <w:t>jelentés</w:t>
      </w:r>
      <w:r w:rsidR="00D15C25">
        <w:rPr>
          <w:rFonts w:cs="Times New Roman"/>
          <w:szCs w:val="24"/>
        </w:rPr>
        <w:t xml:space="preserve"> – mely </w:t>
      </w:r>
      <w:r w:rsidR="00D15C25" w:rsidRPr="00D15C25">
        <w:rPr>
          <w:rFonts w:cs="Times New Roman"/>
          <w:szCs w:val="24"/>
        </w:rPr>
        <w:t xml:space="preserve">a pszichiátriai ellátás </w:t>
      </w:r>
      <w:r w:rsidR="00D15C25">
        <w:rPr>
          <w:rFonts w:cs="Times New Roman"/>
          <w:szCs w:val="24"/>
        </w:rPr>
        <w:t xml:space="preserve">minőségének </w:t>
      </w:r>
      <w:r w:rsidR="00D15C25" w:rsidRPr="00D15C25">
        <w:rPr>
          <w:rFonts w:cs="Times New Roman"/>
          <w:szCs w:val="24"/>
        </w:rPr>
        <w:t>csökken</w:t>
      </w:r>
      <w:r w:rsidR="00D15C25">
        <w:rPr>
          <w:rFonts w:cs="Times New Roman"/>
          <w:szCs w:val="24"/>
        </w:rPr>
        <w:t>ését állapítja meg</w:t>
      </w:r>
      <w:r w:rsidR="00D15C25">
        <w:rPr>
          <w:rStyle w:val="Lbjegyzet-hivatkozs"/>
          <w:rFonts w:cs="Times New Roman"/>
          <w:szCs w:val="24"/>
        </w:rPr>
        <w:footnoteReference w:id="46"/>
      </w:r>
      <w:r w:rsidR="00D15C25" w:rsidRPr="00D15C25">
        <w:rPr>
          <w:rFonts w:cs="Times New Roman"/>
          <w:szCs w:val="24"/>
        </w:rPr>
        <w:t xml:space="preserve"> </w:t>
      </w:r>
      <w:r w:rsidR="00D15C25">
        <w:rPr>
          <w:rFonts w:cs="Times New Roman"/>
          <w:szCs w:val="24"/>
        </w:rPr>
        <w:t xml:space="preserve">– rámutat </w:t>
      </w:r>
      <w:r w:rsidR="000802F3">
        <w:rPr>
          <w:rFonts w:cs="Times New Roman"/>
          <w:szCs w:val="24"/>
        </w:rPr>
        <w:t>többek között</w:t>
      </w:r>
      <w:r>
        <w:rPr>
          <w:rFonts w:cs="Times New Roman"/>
          <w:szCs w:val="24"/>
        </w:rPr>
        <w:t xml:space="preserve"> arra</w:t>
      </w:r>
      <w:r w:rsidR="000802F3">
        <w:rPr>
          <w:rFonts w:cs="Times New Roman"/>
          <w:szCs w:val="24"/>
        </w:rPr>
        <w:t>, hogy</w:t>
      </w:r>
    </w:p>
    <w:p w14:paraId="3AE99ADD" w14:textId="77777777" w:rsidR="008E3442" w:rsidRDefault="008E3442" w:rsidP="002F3761">
      <w:pPr>
        <w:rPr>
          <w:rFonts w:cs="Times New Roman"/>
          <w:szCs w:val="24"/>
        </w:rPr>
      </w:pPr>
    </w:p>
    <w:p w14:paraId="2EE6EE3F" w14:textId="457F68CD" w:rsidR="008E3442" w:rsidRDefault="008E3442" w:rsidP="008E3442">
      <w:pPr>
        <w:ind w:left="708"/>
        <w:rPr>
          <w:rFonts w:cs="Times New Roman"/>
          <w:szCs w:val="24"/>
        </w:rPr>
      </w:pPr>
      <w:r>
        <w:rPr>
          <w:rFonts w:cs="Times New Roman"/>
          <w:szCs w:val="24"/>
        </w:rPr>
        <w:t>„Magyarországon mind az egészségügyi, mind a szociális ágazat végez feladatokat a pszichiátriai betegek ellátásában, gondozásában, de az ellátás szempontjából nem képeznek összehangolt, egységes rendszert.”</w:t>
      </w:r>
      <w:r>
        <w:rPr>
          <w:rStyle w:val="Lbjegyzet-hivatkozs"/>
          <w:rFonts w:cs="Times New Roman"/>
          <w:szCs w:val="24"/>
        </w:rPr>
        <w:footnoteReference w:id="47"/>
      </w:r>
    </w:p>
    <w:p w14:paraId="1DB0EF6C" w14:textId="77777777" w:rsidR="000802F3" w:rsidRDefault="000802F3" w:rsidP="008E3442">
      <w:pPr>
        <w:ind w:left="708"/>
        <w:rPr>
          <w:rFonts w:cs="Times New Roman"/>
          <w:szCs w:val="24"/>
        </w:rPr>
      </w:pPr>
    </w:p>
    <w:p w14:paraId="07A1AF85" w14:textId="675DFE16" w:rsidR="000802F3" w:rsidRDefault="000802F3" w:rsidP="000802F3">
      <w:pPr>
        <w:ind w:left="708"/>
      </w:pPr>
      <w:r>
        <w:t>„A pszichiátriai ellátás minden területén (a fekvőbeteg-, a járóbeteg-ellátás, a bentlakásos szociális ellátás és a közösségi ellátás) tapasztalhatók a földrajzi hozzáférés jelentős különbözőségei.”</w:t>
      </w:r>
      <w:r>
        <w:rPr>
          <w:rStyle w:val="Lbjegyzet-hivatkozs"/>
        </w:rPr>
        <w:footnoteReference w:id="48"/>
      </w:r>
    </w:p>
    <w:p w14:paraId="27DDBD0E" w14:textId="77777777" w:rsidR="000802F3" w:rsidRDefault="000802F3" w:rsidP="00102952">
      <w:pPr>
        <w:rPr>
          <w:rFonts w:cs="Times New Roman"/>
          <w:szCs w:val="24"/>
        </w:rPr>
      </w:pPr>
    </w:p>
    <w:p w14:paraId="3F33783B" w14:textId="4EBA4332" w:rsidR="007D0C73" w:rsidRDefault="00843604" w:rsidP="002F3761">
      <w:pPr>
        <w:rPr>
          <w:rFonts w:cs="Times New Roman"/>
          <w:szCs w:val="24"/>
        </w:rPr>
      </w:pPr>
      <w:r w:rsidRPr="00843604">
        <w:rPr>
          <w:rFonts w:cs="Times New Roman"/>
          <w:szCs w:val="24"/>
        </w:rPr>
        <w:t>Az ENSZ Egészségügyi Világszervezetének (a továbbiakban: WHO) szakértői csoportja 2014. március 25-28. között vizsgálta a magyar mentális egészségügyi ellátást, és</w:t>
      </w:r>
      <w:r>
        <w:rPr>
          <w:rFonts w:cs="Times New Roman"/>
          <w:szCs w:val="24"/>
        </w:rPr>
        <w:t xml:space="preserve"> jelentés</w:t>
      </w:r>
      <w:r w:rsidR="00D72E9F">
        <w:rPr>
          <w:rFonts w:cs="Times New Roman"/>
          <w:szCs w:val="24"/>
        </w:rPr>
        <w:t>é</w:t>
      </w:r>
      <w:r>
        <w:rPr>
          <w:rFonts w:cs="Times New Roman"/>
          <w:szCs w:val="24"/>
        </w:rPr>
        <w:t>ben hangsúlyozta:</w:t>
      </w:r>
    </w:p>
    <w:p w14:paraId="63B0F552" w14:textId="60AB2BB7" w:rsidR="00843604" w:rsidRDefault="00843604" w:rsidP="00843604">
      <w:pPr>
        <w:pStyle w:val="Listaszerbekezds"/>
        <w:numPr>
          <w:ilvl w:val="0"/>
          <w:numId w:val="37"/>
        </w:numPr>
        <w:rPr>
          <w:rFonts w:cs="Times New Roman"/>
          <w:szCs w:val="24"/>
        </w:rPr>
      </w:pPr>
      <w:r w:rsidRPr="00843604">
        <w:rPr>
          <w:rFonts w:cs="Times New Roman"/>
          <w:szCs w:val="24"/>
        </w:rPr>
        <w:t xml:space="preserve">Az ellátórendszer </w:t>
      </w:r>
      <w:r>
        <w:rPr>
          <w:rFonts w:cs="Times New Roman"/>
          <w:szCs w:val="24"/>
        </w:rPr>
        <w:t xml:space="preserve">különböző tagjai </w:t>
      </w:r>
      <w:r w:rsidRPr="00843604">
        <w:rPr>
          <w:rFonts w:cs="Times New Roman"/>
          <w:szCs w:val="24"/>
        </w:rPr>
        <w:t xml:space="preserve">– az alapellátás, a közösségi szolgáltatások és a kórházak – </w:t>
      </w:r>
      <w:r>
        <w:rPr>
          <w:rFonts w:cs="Times New Roman"/>
          <w:szCs w:val="24"/>
        </w:rPr>
        <w:t xml:space="preserve">küszködnek a rájuk nehezedő </w:t>
      </w:r>
      <w:r w:rsidRPr="00843604">
        <w:rPr>
          <w:rFonts w:cs="Times New Roman"/>
          <w:szCs w:val="24"/>
        </w:rPr>
        <w:t>nyomás</w:t>
      </w:r>
      <w:r>
        <w:rPr>
          <w:rFonts w:cs="Times New Roman"/>
          <w:szCs w:val="24"/>
        </w:rPr>
        <w:t>tól</w:t>
      </w:r>
      <w:r w:rsidR="00233949">
        <w:rPr>
          <w:rFonts w:cs="Times New Roman"/>
          <w:szCs w:val="24"/>
        </w:rPr>
        <w:t>;</w:t>
      </w:r>
    </w:p>
    <w:p w14:paraId="0C7192BA" w14:textId="4ECEFA9D" w:rsidR="00843604" w:rsidRDefault="00843604" w:rsidP="00843604">
      <w:pPr>
        <w:pStyle w:val="Listaszerbekezds"/>
        <w:numPr>
          <w:ilvl w:val="0"/>
          <w:numId w:val="37"/>
        </w:numPr>
        <w:rPr>
          <w:rFonts w:cs="Times New Roman"/>
          <w:szCs w:val="24"/>
        </w:rPr>
      </w:pPr>
      <w:r w:rsidRPr="00843604">
        <w:rPr>
          <w:rFonts w:cs="Times New Roman"/>
          <w:szCs w:val="24"/>
        </w:rPr>
        <w:t>A háziorvosok n</w:t>
      </w:r>
      <w:r>
        <w:rPr>
          <w:rFonts w:cs="Times New Roman"/>
          <w:szCs w:val="24"/>
        </w:rPr>
        <w:t xml:space="preserve">em rendelkeznek </w:t>
      </w:r>
      <w:r w:rsidRPr="00843604">
        <w:rPr>
          <w:rFonts w:cs="Times New Roman"/>
          <w:szCs w:val="24"/>
        </w:rPr>
        <w:t>kapacitás</w:t>
      </w:r>
      <w:r>
        <w:rPr>
          <w:rFonts w:cs="Times New Roman"/>
          <w:szCs w:val="24"/>
        </w:rPr>
        <w:t xml:space="preserve">sal vagy nincs meg a </w:t>
      </w:r>
      <w:r w:rsidRPr="00843604">
        <w:rPr>
          <w:rFonts w:cs="Times New Roman"/>
          <w:szCs w:val="24"/>
        </w:rPr>
        <w:t>kompetenciájuk</w:t>
      </w:r>
      <w:r>
        <w:rPr>
          <w:rFonts w:cs="Times New Roman"/>
          <w:szCs w:val="24"/>
        </w:rPr>
        <w:t xml:space="preserve"> ahhoz,</w:t>
      </w:r>
      <w:r w:rsidRPr="00843604">
        <w:rPr>
          <w:rFonts w:cs="Times New Roman"/>
          <w:szCs w:val="24"/>
        </w:rPr>
        <w:t xml:space="preserve"> </w:t>
      </w:r>
      <w:r>
        <w:rPr>
          <w:rFonts w:cs="Times New Roman"/>
          <w:szCs w:val="24"/>
        </w:rPr>
        <w:t xml:space="preserve">hogy a szükségleteket ellássák. Ennek oka, hogy </w:t>
      </w:r>
      <w:r w:rsidRPr="00843604">
        <w:rPr>
          <w:rFonts w:cs="Times New Roman"/>
          <w:szCs w:val="24"/>
        </w:rPr>
        <w:t xml:space="preserve">egyedül dolgoznak és a „fejpénz-alapú” finanszírozás </w:t>
      </w:r>
      <w:r>
        <w:rPr>
          <w:rFonts w:cs="Times New Roman"/>
          <w:szCs w:val="24"/>
        </w:rPr>
        <w:t>sem ösztönzi őket,</w:t>
      </w:r>
      <w:r w:rsidRPr="00843604">
        <w:rPr>
          <w:rFonts w:cs="Times New Roman"/>
          <w:szCs w:val="24"/>
        </w:rPr>
        <w:t xml:space="preserve"> hogy </w:t>
      </w:r>
      <w:r>
        <w:rPr>
          <w:rFonts w:cs="Times New Roman"/>
          <w:szCs w:val="24"/>
        </w:rPr>
        <w:t xml:space="preserve">megfelelő figyelmet fordítsanak a </w:t>
      </w:r>
      <w:r w:rsidRPr="00843604">
        <w:rPr>
          <w:rFonts w:cs="Times New Roman"/>
          <w:szCs w:val="24"/>
        </w:rPr>
        <w:t>mentális problémával élő betegeikre</w:t>
      </w:r>
      <w:r w:rsidR="00233949">
        <w:rPr>
          <w:rFonts w:cs="Times New Roman"/>
          <w:szCs w:val="24"/>
        </w:rPr>
        <w:t>;</w:t>
      </w:r>
    </w:p>
    <w:p w14:paraId="3CB60080" w14:textId="13AB0230" w:rsidR="00C01393" w:rsidRDefault="00843604" w:rsidP="00843604">
      <w:pPr>
        <w:pStyle w:val="Listaszerbekezds"/>
        <w:numPr>
          <w:ilvl w:val="0"/>
          <w:numId w:val="37"/>
        </w:numPr>
        <w:rPr>
          <w:rFonts w:cs="Times New Roman"/>
          <w:szCs w:val="24"/>
        </w:rPr>
      </w:pPr>
      <w:r>
        <w:rPr>
          <w:rFonts w:cs="Times New Roman"/>
          <w:szCs w:val="24"/>
        </w:rPr>
        <w:t xml:space="preserve">A járóbeteg-ellátók és a </w:t>
      </w:r>
      <w:r w:rsidRPr="00843604">
        <w:rPr>
          <w:rFonts w:cs="Times New Roman"/>
          <w:szCs w:val="24"/>
        </w:rPr>
        <w:t>gondozók</w:t>
      </w:r>
      <w:r>
        <w:rPr>
          <w:rFonts w:cs="Times New Roman"/>
          <w:szCs w:val="24"/>
        </w:rPr>
        <w:t xml:space="preserve"> nehézséggel szem</w:t>
      </w:r>
      <w:r w:rsidR="00C01393">
        <w:rPr>
          <w:rFonts w:cs="Times New Roman"/>
          <w:szCs w:val="24"/>
        </w:rPr>
        <w:t>besülnek</w:t>
      </w:r>
      <w:r>
        <w:rPr>
          <w:rFonts w:cs="Times New Roman"/>
          <w:szCs w:val="24"/>
        </w:rPr>
        <w:t xml:space="preserve"> </w:t>
      </w:r>
      <w:r w:rsidRPr="00843604">
        <w:rPr>
          <w:rFonts w:cs="Times New Roman"/>
          <w:szCs w:val="24"/>
        </w:rPr>
        <w:t xml:space="preserve">a </w:t>
      </w:r>
      <w:r w:rsidR="00C01393" w:rsidRPr="00843604">
        <w:rPr>
          <w:rFonts w:cs="Times New Roman"/>
          <w:szCs w:val="24"/>
        </w:rPr>
        <w:t>magas</w:t>
      </w:r>
      <w:r w:rsidR="00C01393">
        <w:rPr>
          <w:rFonts w:cs="Times New Roman"/>
          <w:szCs w:val="24"/>
        </w:rPr>
        <w:t xml:space="preserve"> számú betegellátási szükséglet valamint az</w:t>
      </w:r>
      <w:r w:rsidRPr="00843604">
        <w:rPr>
          <w:rFonts w:cs="Times New Roman"/>
          <w:szCs w:val="24"/>
        </w:rPr>
        <w:t xml:space="preserve"> alacsony személyi és </w:t>
      </w:r>
      <w:r w:rsidR="00C01393">
        <w:rPr>
          <w:rFonts w:cs="Times New Roman"/>
          <w:szCs w:val="24"/>
        </w:rPr>
        <w:t>finanszírozási feltételek miatt</w:t>
      </w:r>
      <w:r w:rsidR="00233949">
        <w:rPr>
          <w:rFonts w:cs="Times New Roman"/>
          <w:szCs w:val="24"/>
        </w:rPr>
        <w:t>;</w:t>
      </w:r>
    </w:p>
    <w:p w14:paraId="7BE4DBFB" w14:textId="2F6D14CB" w:rsidR="00C01393" w:rsidRDefault="00843604" w:rsidP="00843604">
      <w:pPr>
        <w:pStyle w:val="Listaszerbekezds"/>
        <w:numPr>
          <w:ilvl w:val="0"/>
          <w:numId w:val="37"/>
        </w:numPr>
        <w:rPr>
          <w:rFonts w:cs="Times New Roman"/>
          <w:szCs w:val="24"/>
        </w:rPr>
      </w:pPr>
      <w:r w:rsidRPr="00843604">
        <w:rPr>
          <w:rFonts w:cs="Times New Roman"/>
          <w:szCs w:val="24"/>
        </w:rPr>
        <w:t xml:space="preserve">A kórházak </w:t>
      </w:r>
      <w:r w:rsidR="00C01393">
        <w:rPr>
          <w:rFonts w:cs="Times New Roman"/>
          <w:szCs w:val="24"/>
        </w:rPr>
        <w:t>a</w:t>
      </w:r>
      <w:r w:rsidRPr="00843604">
        <w:rPr>
          <w:rFonts w:cs="Times New Roman"/>
          <w:szCs w:val="24"/>
        </w:rPr>
        <w:t>lacsony színvonalú és kis hatékonyságú gyakorlatot folyta</w:t>
      </w:r>
      <w:r w:rsidR="00C01393">
        <w:rPr>
          <w:rFonts w:cs="Times New Roman"/>
          <w:szCs w:val="24"/>
        </w:rPr>
        <w:t>tnak</w:t>
      </w:r>
      <w:r w:rsidRPr="00843604">
        <w:rPr>
          <w:rFonts w:cs="Times New Roman"/>
          <w:szCs w:val="24"/>
        </w:rPr>
        <w:t xml:space="preserve">, mint </w:t>
      </w:r>
      <w:r w:rsidR="00C01393">
        <w:rPr>
          <w:rFonts w:cs="Times New Roman"/>
          <w:szCs w:val="24"/>
        </w:rPr>
        <w:t xml:space="preserve">például </w:t>
      </w:r>
      <w:r w:rsidRPr="00843604">
        <w:rPr>
          <w:rFonts w:cs="Times New Roman"/>
          <w:szCs w:val="24"/>
        </w:rPr>
        <w:t xml:space="preserve">a rövid </w:t>
      </w:r>
      <w:r w:rsidR="00C01393">
        <w:rPr>
          <w:rFonts w:cs="Times New Roman"/>
          <w:szCs w:val="24"/>
        </w:rPr>
        <w:t xml:space="preserve">és többszörös felvételen alapuló </w:t>
      </w:r>
      <w:r w:rsidRPr="00843604">
        <w:rPr>
          <w:rFonts w:cs="Times New Roman"/>
          <w:szCs w:val="24"/>
        </w:rPr>
        <w:t>kezelések</w:t>
      </w:r>
      <w:r w:rsidR="00233949">
        <w:rPr>
          <w:rFonts w:cs="Times New Roman"/>
          <w:szCs w:val="24"/>
        </w:rPr>
        <w:t>;</w:t>
      </w:r>
    </w:p>
    <w:p w14:paraId="45D3628E" w14:textId="6E528285" w:rsidR="00C01393" w:rsidRDefault="00843604" w:rsidP="00843604">
      <w:pPr>
        <w:pStyle w:val="Listaszerbekezds"/>
        <w:numPr>
          <w:ilvl w:val="0"/>
          <w:numId w:val="37"/>
        </w:numPr>
        <w:rPr>
          <w:rFonts w:cs="Times New Roman"/>
          <w:szCs w:val="24"/>
        </w:rPr>
      </w:pPr>
      <w:r w:rsidRPr="00843604">
        <w:rPr>
          <w:rFonts w:cs="Times New Roman"/>
          <w:szCs w:val="24"/>
        </w:rPr>
        <w:t>A közösségi ellátók gyakran</w:t>
      </w:r>
      <w:r w:rsidR="00C01393">
        <w:rPr>
          <w:rFonts w:cs="Times New Roman"/>
          <w:szCs w:val="24"/>
        </w:rPr>
        <w:t xml:space="preserve"> félelemmel tekintenek a jövőt jellemző bizonytalan finanszírozás felé</w:t>
      </w:r>
      <w:r w:rsidR="00233949">
        <w:rPr>
          <w:rFonts w:cs="Times New Roman"/>
          <w:szCs w:val="24"/>
        </w:rPr>
        <w:t>;</w:t>
      </w:r>
    </w:p>
    <w:p w14:paraId="02538476" w14:textId="6E660D18" w:rsidR="00843604" w:rsidRDefault="00843604" w:rsidP="00843604">
      <w:pPr>
        <w:pStyle w:val="Listaszerbekezds"/>
        <w:numPr>
          <w:ilvl w:val="0"/>
          <w:numId w:val="37"/>
        </w:numPr>
        <w:rPr>
          <w:rFonts w:cs="Times New Roman"/>
          <w:szCs w:val="24"/>
        </w:rPr>
      </w:pPr>
      <w:r w:rsidRPr="00843604">
        <w:rPr>
          <w:rFonts w:cs="Times New Roman"/>
          <w:szCs w:val="24"/>
        </w:rPr>
        <w:t xml:space="preserve">Az egyes ellátási szintek </w:t>
      </w:r>
      <w:r w:rsidR="00233949">
        <w:rPr>
          <w:rFonts w:cs="Times New Roman"/>
          <w:szCs w:val="24"/>
        </w:rPr>
        <w:t xml:space="preserve">egyre nagyobb </w:t>
      </w:r>
      <w:r w:rsidR="00C01393">
        <w:rPr>
          <w:rFonts w:cs="Times New Roman"/>
          <w:szCs w:val="24"/>
        </w:rPr>
        <w:t>kihívásokkal néznek szembe</w:t>
      </w:r>
      <w:r w:rsidR="00233949">
        <w:rPr>
          <w:rFonts w:cs="Times New Roman"/>
          <w:szCs w:val="24"/>
        </w:rPr>
        <w:t xml:space="preserve"> a többi ellátási szint </w:t>
      </w:r>
      <w:r w:rsidRPr="00843604">
        <w:rPr>
          <w:rFonts w:cs="Times New Roman"/>
          <w:szCs w:val="24"/>
        </w:rPr>
        <w:t xml:space="preserve">inadekvát volta </w:t>
      </w:r>
      <w:r w:rsidR="00233949">
        <w:rPr>
          <w:rFonts w:cs="Times New Roman"/>
          <w:szCs w:val="24"/>
        </w:rPr>
        <w:t>miatt.</w:t>
      </w:r>
      <w:r w:rsidR="00233949">
        <w:rPr>
          <w:rStyle w:val="Lbjegyzet-hivatkozs"/>
          <w:rFonts w:cs="Times New Roman"/>
          <w:szCs w:val="24"/>
        </w:rPr>
        <w:footnoteReference w:id="49"/>
      </w:r>
    </w:p>
    <w:p w14:paraId="519AD667" w14:textId="77777777" w:rsidR="00843604" w:rsidRDefault="00843604" w:rsidP="00843604">
      <w:pPr>
        <w:rPr>
          <w:rFonts w:cs="Times New Roman"/>
          <w:szCs w:val="24"/>
        </w:rPr>
      </w:pPr>
    </w:p>
    <w:p w14:paraId="3C20133F" w14:textId="7C252441" w:rsidR="00843604" w:rsidRDefault="002D5A06" w:rsidP="00843604">
      <w:pPr>
        <w:rPr>
          <w:rFonts w:cs="Times New Roman"/>
          <w:szCs w:val="24"/>
        </w:rPr>
      </w:pPr>
      <w:r>
        <w:rPr>
          <w:rFonts w:cs="Times New Roman"/>
          <w:szCs w:val="24"/>
        </w:rPr>
        <w:t>A</w:t>
      </w:r>
      <w:r w:rsidR="002E3F64">
        <w:rPr>
          <w:rFonts w:cs="Times New Roman"/>
          <w:szCs w:val="24"/>
        </w:rPr>
        <w:t xml:space="preserve"> pszichoszociális fogyatékossággal élő személyek</w:t>
      </w:r>
      <w:r>
        <w:rPr>
          <w:rFonts w:cs="Times New Roman"/>
          <w:szCs w:val="24"/>
        </w:rPr>
        <w:t xml:space="preserve">et gyakran érik előítéletek és hátrányos megkülönböztetés, életüket pedig sokszor bélyegzi meg a társadalomból való kirekesztettség. Talán ez az oka annak, hogy a stigmatizáció nemcsak az érintett személyeket </w:t>
      </w:r>
      <w:r w:rsidR="00F95C11">
        <w:rPr>
          <w:rFonts w:cs="Times New Roman"/>
          <w:szCs w:val="24"/>
        </w:rPr>
        <w:t>érinti</w:t>
      </w:r>
      <w:r>
        <w:rPr>
          <w:rFonts w:cs="Times New Roman"/>
          <w:szCs w:val="24"/>
        </w:rPr>
        <w:t xml:space="preserve">, de a szociális és az egészségügyi ellátórendszer azon szegmenseit is, amelyek e célcsoport számára </w:t>
      </w:r>
      <w:proofErr w:type="spellStart"/>
      <w:r>
        <w:rPr>
          <w:rFonts w:cs="Times New Roman"/>
          <w:szCs w:val="24"/>
        </w:rPr>
        <w:t>nyújtan</w:t>
      </w:r>
      <w:proofErr w:type="spellEnd"/>
      <w:r>
        <w:rPr>
          <w:rFonts w:cs="Times New Roman"/>
          <w:szCs w:val="24"/>
        </w:rPr>
        <w:t>(</w:t>
      </w:r>
      <w:proofErr w:type="spellStart"/>
      <w:r>
        <w:rPr>
          <w:rFonts w:cs="Times New Roman"/>
          <w:szCs w:val="24"/>
        </w:rPr>
        <w:t>án</w:t>
      </w:r>
      <w:proofErr w:type="spellEnd"/>
      <w:r>
        <w:rPr>
          <w:rFonts w:cs="Times New Roman"/>
          <w:szCs w:val="24"/>
        </w:rPr>
        <w:t>)</w:t>
      </w:r>
      <w:proofErr w:type="spellStart"/>
      <w:r>
        <w:rPr>
          <w:rFonts w:cs="Times New Roman"/>
          <w:szCs w:val="24"/>
        </w:rPr>
        <w:t>ak</w:t>
      </w:r>
      <w:proofErr w:type="spellEnd"/>
      <w:r>
        <w:rPr>
          <w:rFonts w:cs="Times New Roman"/>
          <w:szCs w:val="24"/>
        </w:rPr>
        <w:t xml:space="preserve"> támogatást, ellátást. </w:t>
      </w:r>
    </w:p>
    <w:p w14:paraId="42CF6829" w14:textId="77777777" w:rsidR="008E3442" w:rsidRPr="002F3761" w:rsidRDefault="008E3442" w:rsidP="002F3761">
      <w:pPr>
        <w:rPr>
          <w:rFonts w:cs="Times New Roman"/>
          <w:szCs w:val="24"/>
        </w:rPr>
      </w:pPr>
    </w:p>
    <w:p w14:paraId="1B522DB2" w14:textId="561AD5D4" w:rsidR="00F60063" w:rsidRPr="000B427C" w:rsidRDefault="002D5A06" w:rsidP="000B427C">
      <w:pPr>
        <w:pStyle w:val="Cmsor1"/>
        <w:rPr>
          <w:rFonts w:ascii="Times New Roman" w:hAnsi="Times New Roman" w:cs="Times New Roman"/>
          <w:color w:val="auto"/>
        </w:rPr>
      </w:pPr>
      <w:bookmarkStart w:id="13" w:name="_Toc451515103"/>
      <w:r w:rsidRPr="000B427C">
        <w:rPr>
          <w:rFonts w:ascii="Times New Roman" w:hAnsi="Times New Roman" w:cs="Times New Roman"/>
          <w:color w:val="auto"/>
        </w:rPr>
        <w:t>3</w:t>
      </w:r>
      <w:r w:rsidR="00CB1757" w:rsidRPr="000B427C">
        <w:rPr>
          <w:rFonts w:ascii="Times New Roman" w:hAnsi="Times New Roman" w:cs="Times New Roman"/>
          <w:color w:val="auto"/>
        </w:rPr>
        <w:t xml:space="preserve">. </w:t>
      </w:r>
      <w:r w:rsidR="00F60063" w:rsidRPr="000B427C">
        <w:rPr>
          <w:rFonts w:ascii="Times New Roman" w:hAnsi="Times New Roman" w:cs="Times New Roman"/>
          <w:color w:val="auto"/>
        </w:rPr>
        <w:t xml:space="preserve">A nem-önkéntes pszichiátriai elhelyezéssel és </w:t>
      </w:r>
      <w:proofErr w:type="gramStart"/>
      <w:r w:rsidR="00AC66EA" w:rsidRPr="000B427C">
        <w:rPr>
          <w:rFonts w:ascii="Times New Roman" w:hAnsi="Times New Roman" w:cs="Times New Roman"/>
          <w:color w:val="auto"/>
        </w:rPr>
        <w:t>nem-önkéntes kezeléssel</w:t>
      </w:r>
      <w:proofErr w:type="gramEnd"/>
      <w:r w:rsidR="006B51C2" w:rsidRPr="000B427C">
        <w:rPr>
          <w:rFonts w:ascii="Times New Roman" w:hAnsi="Times New Roman" w:cs="Times New Roman"/>
          <w:color w:val="auto"/>
        </w:rPr>
        <w:t>, valamint ezek alternatív formáival</w:t>
      </w:r>
      <w:r w:rsidR="00F60063" w:rsidRPr="000B427C">
        <w:rPr>
          <w:rFonts w:ascii="Times New Roman" w:hAnsi="Times New Roman" w:cs="Times New Roman"/>
          <w:color w:val="auto"/>
        </w:rPr>
        <w:t xml:space="preserve"> kapcsolatos megélt tapasztalatok</w:t>
      </w:r>
      <w:bookmarkEnd w:id="13"/>
      <w:r w:rsidR="00F60063" w:rsidRPr="000B427C">
        <w:rPr>
          <w:rFonts w:ascii="Times New Roman" w:hAnsi="Times New Roman" w:cs="Times New Roman"/>
          <w:color w:val="auto"/>
        </w:rPr>
        <w:t xml:space="preserve"> </w:t>
      </w:r>
    </w:p>
    <w:p w14:paraId="3AAFCDD2" w14:textId="77777777" w:rsidR="00694C4E" w:rsidRPr="002F3761" w:rsidRDefault="00694C4E" w:rsidP="002F3761">
      <w:pPr>
        <w:rPr>
          <w:rFonts w:cs="Times New Roman"/>
          <w:szCs w:val="24"/>
        </w:rPr>
      </w:pPr>
    </w:p>
    <w:p w14:paraId="0577C80F" w14:textId="5F50E34B" w:rsidR="00D1069F" w:rsidRPr="002F3761" w:rsidRDefault="005C42AE" w:rsidP="002F3761">
      <w:pPr>
        <w:rPr>
          <w:rFonts w:cs="Times New Roman"/>
          <w:szCs w:val="24"/>
        </w:rPr>
      </w:pPr>
      <w:r w:rsidRPr="002F3761">
        <w:rPr>
          <w:rFonts w:cs="Times New Roman"/>
          <w:szCs w:val="24"/>
        </w:rPr>
        <w:t>Az emberi jogi paradigma keretei között gondolkodva</w:t>
      </w:r>
      <w:r w:rsidR="001D1FC2">
        <w:rPr>
          <w:rFonts w:cs="Times New Roman"/>
          <w:szCs w:val="24"/>
        </w:rPr>
        <w:t>,</w:t>
      </w:r>
      <w:r w:rsidR="007B24CB" w:rsidRPr="002F3761">
        <w:rPr>
          <w:rFonts w:cs="Times New Roman"/>
          <w:szCs w:val="24"/>
        </w:rPr>
        <w:t xml:space="preserve"> és vizsgálva a </w:t>
      </w:r>
      <w:r w:rsidR="00D01DDB" w:rsidRPr="002F3761">
        <w:rPr>
          <w:rFonts w:cs="Times New Roman"/>
          <w:szCs w:val="24"/>
        </w:rPr>
        <w:t>nem-önkéntes</w:t>
      </w:r>
      <w:r w:rsidR="007B24CB" w:rsidRPr="002F3761">
        <w:rPr>
          <w:rFonts w:cs="Times New Roman"/>
          <w:szCs w:val="24"/>
        </w:rPr>
        <w:t xml:space="preserve"> intézeti elhelyezés és a </w:t>
      </w:r>
      <w:r w:rsidR="00D01DDB" w:rsidRPr="002F3761">
        <w:rPr>
          <w:rFonts w:cs="Times New Roman"/>
          <w:szCs w:val="24"/>
        </w:rPr>
        <w:t>nem-önkéntes</w:t>
      </w:r>
      <w:r w:rsidR="007B24CB" w:rsidRPr="002F3761">
        <w:rPr>
          <w:rFonts w:cs="Times New Roman"/>
          <w:szCs w:val="24"/>
        </w:rPr>
        <w:t xml:space="preserve"> gyógykezelés kérdéskörét</w:t>
      </w:r>
      <w:r w:rsidR="00D1069F" w:rsidRPr="002F3761">
        <w:rPr>
          <w:rFonts w:cs="Times New Roman"/>
          <w:szCs w:val="24"/>
        </w:rPr>
        <w:t xml:space="preserve">, valamint e jelenség alternatív formáit, elengedhetetlen, hogy a fogyatékossággal élő személyek mozgalmait meghatározó ’semmit rólunk nélkülünk’ elvet prioritásként kezeljük és az érintettek megélt tapasztalataira odafigyeljünk. </w:t>
      </w:r>
      <w:r w:rsidR="009C6B2F" w:rsidRPr="002F3761">
        <w:rPr>
          <w:rFonts w:cs="Times New Roman"/>
          <w:szCs w:val="24"/>
        </w:rPr>
        <w:t xml:space="preserve">Ez az odafigyelés </w:t>
      </w:r>
      <w:r w:rsidR="00D1069F" w:rsidRPr="002F3761">
        <w:rPr>
          <w:rFonts w:cs="Times New Roman"/>
          <w:szCs w:val="24"/>
        </w:rPr>
        <w:t>kell, hogy jellemezze</w:t>
      </w:r>
      <w:r w:rsidR="009C6B2F" w:rsidRPr="002F3761">
        <w:rPr>
          <w:rFonts w:cs="Times New Roman"/>
          <w:szCs w:val="24"/>
        </w:rPr>
        <w:t xml:space="preserve"> nemcsak az egészségügyben és a szociális területen dolgozókat, akik a releváns jog</w:t>
      </w:r>
      <w:r w:rsidR="00AC66EA" w:rsidRPr="002F3761">
        <w:rPr>
          <w:rFonts w:cs="Times New Roman"/>
          <w:szCs w:val="24"/>
        </w:rPr>
        <w:t xml:space="preserve">i előírásokat </w:t>
      </w:r>
      <w:r w:rsidR="009C6B2F" w:rsidRPr="002F3761">
        <w:rPr>
          <w:rFonts w:cs="Times New Roman"/>
          <w:szCs w:val="24"/>
        </w:rPr>
        <w:t>alkalmazzák, de a döntéshozókat és a jogalkotót, valamint a döntéshozatali eljárásokat és a jogalkotás folyamatát is.</w:t>
      </w:r>
      <w:r w:rsidR="009C6B2F" w:rsidRPr="002F3761">
        <w:rPr>
          <w:rStyle w:val="Lbjegyzet-hivatkozs"/>
          <w:rFonts w:cs="Times New Roman"/>
          <w:szCs w:val="24"/>
        </w:rPr>
        <w:footnoteReference w:id="50"/>
      </w:r>
    </w:p>
    <w:p w14:paraId="5F42A7F6" w14:textId="77777777" w:rsidR="00D1069F" w:rsidRPr="002F3761" w:rsidRDefault="00D1069F" w:rsidP="002F3761">
      <w:pPr>
        <w:rPr>
          <w:rFonts w:cs="Times New Roman"/>
          <w:szCs w:val="24"/>
        </w:rPr>
      </w:pPr>
    </w:p>
    <w:p w14:paraId="1B327145" w14:textId="77777777" w:rsidR="00252A68" w:rsidRPr="002F3761" w:rsidRDefault="00252A68" w:rsidP="002F3761">
      <w:pPr>
        <w:rPr>
          <w:rFonts w:cs="Times New Roman"/>
          <w:szCs w:val="24"/>
        </w:rPr>
      </w:pPr>
      <w:r w:rsidRPr="002F3761">
        <w:rPr>
          <w:rFonts w:cs="Times New Roman"/>
          <w:szCs w:val="24"/>
        </w:rPr>
        <w:t>Az Európai Unió Alapjogi Ügynöksége (</w:t>
      </w:r>
      <w:r w:rsidR="002F7FE2" w:rsidRPr="002F3761">
        <w:rPr>
          <w:rFonts w:cs="Times New Roman"/>
          <w:szCs w:val="24"/>
        </w:rPr>
        <w:t xml:space="preserve">a továbbiakban: </w:t>
      </w:r>
      <w:r w:rsidRPr="002F3761">
        <w:rPr>
          <w:rFonts w:cs="Times New Roman"/>
          <w:szCs w:val="24"/>
        </w:rPr>
        <w:t xml:space="preserve">FRA) 2012-ben publikálta a mentális egészségi problémákkal élő személyek </w:t>
      </w:r>
      <w:r w:rsidR="00D01DDB" w:rsidRPr="002F3761">
        <w:rPr>
          <w:rFonts w:cs="Times New Roman"/>
          <w:szCs w:val="24"/>
        </w:rPr>
        <w:t>nem-önkéntes</w:t>
      </w:r>
      <w:r w:rsidR="0005176B" w:rsidRPr="002F3761">
        <w:rPr>
          <w:rFonts w:cs="Times New Roman"/>
          <w:szCs w:val="24"/>
        </w:rPr>
        <w:t xml:space="preserve"> pszichiátriai </w:t>
      </w:r>
      <w:r w:rsidRPr="002F3761">
        <w:rPr>
          <w:rFonts w:cs="Times New Roman"/>
          <w:szCs w:val="24"/>
        </w:rPr>
        <w:t xml:space="preserve">elhelyezésével és </w:t>
      </w:r>
      <w:r w:rsidR="00D01DDB" w:rsidRPr="002F3761">
        <w:rPr>
          <w:rFonts w:cs="Times New Roman"/>
          <w:szCs w:val="24"/>
        </w:rPr>
        <w:t>nem-önkéntes</w:t>
      </w:r>
      <w:r w:rsidR="0005176B" w:rsidRPr="002F3761">
        <w:rPr>
          <w:rFonts w:cs="Times New Roman"/>
          <w:szCs w:val="24"/>
        </w:rPr>
        <w:t xml:space="preserve"> </w:t>
      </w:r>
      <w:r w:rsidRPr="002F3761">
        <w:rPr>
          <w:rFonts w:cs="Times New Roman"/>
          <w:szCs w:val="24"/>
        </w:rPr>
        <w:t>gyógykezelésével foglalkoz</w:t>
      </w:r>
      <w:r w:rsidR="00681818" w:rsidRPr="002F3761">
        <w:rPr>
          <w:rFonts w:cs="Times New Roman"/>
          <w:szCs w:val="24"/>
        </w:rPr>
        <w:t>ó tanulmányát, m</w:t>
      </w:r>
      <w:r w:rsidR="0005176B" w:rsidRPr="002F3761">
        <w:rPr>
          <w:rFonts w:cs="Times New Roman"/>
          <w:szCs w:val="24"/>
        </w:rPr>
        <w:t>elynek alapját képezték az érintett személyek e területeken szerzett személyes tapasztalatai is. Az Európai Unió kilenc tagállamában készített interjúk során</w:t>
      </w:r>
      <w:r w:rsidR="00CB1757">
        <w:rPr>
          <w:rFonts w:cs="Times New Roman"/>
          <w:szCs w:val="24"/>
        </w:rPr>
        <w:t>,</w:t>
      </w:r>
      <w:r w:rsidR="0005176B" w:rsidRPr="002F3761">
        <w:rPr>
          <w:rFonts w:cs="Times New Roman"/>
          <w:szCs w:val="24"/>
        </w:rPr>
        <w:t xml:space="preserve"> a pszichoszociális fogyatékossággal élő személyek túlnyomó többségben negatív tapasztalatokról számoltak be, hangsúlyozva, hogy a nem-önkéntes pszichiátriai elhelyezéssel és kezeléssel kapcsolatosan</w:t>
      </w:r>
      <w:r w:rsidR="00FB125F" w:rsidRPr="002F3761">
        <w:rPr>
          <w:rFonts w:cs="Times New Roman"/>
          <w:szCs w:val="24"/>
        </w:rPr>
        <w:t xml:space="preserve"> az élethelyzetük feletti kontroll elvesztését érezték, </w:t>
      </w:r>
      <w:r w:rsidR="00AD1946" w:rsidRPr="002F3761">
        <w:rPr>
          <w:rFonts w:cs="Times New Roman"/>
          <w:szCs w:val="24"/>
        </w:rPr>
        <w:t xml:space="preserve">erőszakos atmoszférát érzékeltek, </w:t>
      </w:r>
      <w:r w:rsidR="00FB125F" w:rsidRPr="002F3761">
        <w:rPr>
          <w:rFonts w:cs="Times New Roman"/>
          <w:szCs w:val="24"/>
        </w:rPr>
        <w:t>valamint traumát</w:t>
      </w:r>
      <w:r w:rsidR="00AD1946" w:rsidRPr="002F3761">
        <w:rPr>
          <w:rFonts w:cs="Times New Roman"/>
          <w:szCs w:val="24"/>
        </w:rPr>
        <w:t xml:space="preserve">, </w:t>
      </w:r>
      <w:r w:rsidR="0005176B" w:rsidRPr="002F3761">
        <w:rPr>
          <w:rFonts w:cs="Times New Roman"/>
          <w:szCs w:val="24"/>
        </w:rPr>
        <w:t>félelmet</w:t>
      </w:r>
      <w:r w:rsidR="0082798E" w:rsidRPr="002F3761">
        <w:rPr>
          <w:rFonts w:cs="Times New Roman"/>
          <w:szCs w:val="24"/>
        </w:rPr>
        <w:t>, rettegést, megalázottságot</w:t>
      </w:r>
      <w:r w:rsidR="00AD1946" w:rsidRPr="002F3761">
        <w:rPr>
          <w:rFonts w:cs="Times New Roman"/>
          <w:szCs w:val="24"/>
        </w:rPr>
        <w:t xml:space="preserve"> és összezavarodottságot</w:t>
      </w:r>
      <w:r w:rsidR="0005176B" w:rsidRPr="002F3761">
        <w:rPr>
          <w:rFonts w:cs="Times New Roman"/>
          <w:szCs w:val="24"/>
        </w:rPr>
        <w:t xml:space="preserve"> </w:t>
      </w:r>
      <w:r w:rsidR="00FB125F" w:rsidRPr="002F3761">
        <w:rPr>
          <w:rFonts w:cs="Times New Roman"/>
          <w:szCs w:val="24"/>
        </w:rPr>
        <w:t>élte</w:t>
      </w:r>
      <w:r w:rsidR="0005176B" w:rsidRPr="002F3761">
        <w:rPr>
          <w:rFonts w:cs="Times New Roman"/>
          <w:szCs w:val="24"/>
        </w:rPr>
        <w:t>k meg.</w:t>
      </w:r>
      <w:r w:rsidR="00FB125F" w:rsidRPr="002F3761">
        <w:rPr>
          <w:rStyle w:val="Lbjegyzet-hivatkozs"/>
          <w:rFonts w:cs="Times New Roman"/>
          <w:szCs w:val="24"/>
        </w:rPr>
        <w:footnoteReference w:id="51"/>
      </w:r>
    </w:p>
    <w:p w14:paraId="793022EE" w14:textId="77777777" w:rsidR="0082798E" w:rsidRPr="002F3761" w:rsidRDefault="0082798E" w:rsidP="002F3761">
      <w:pPr>
        <w:rPr>
          <w:rFonts w:cs="Times New Roman"/>
          <w:szCs w:val="24"/>
        </w:rPr>
      </w:pPr>
    </w:p>
    <w:p w14:paraId="46B8ED83" w14:textId="77777777" w:rsidR="00FA6791" w:rsidRPr="002F3761" w:rsidRDefault="00FA6791" w:rsidP="002F3761">
      <w:pPr>
        <w:ind w:left="708"/>
        <w:rPr>
          <w:rFonts w:cs="Times New Roman"/>
          <w:szCs w:val="24"/>
        </w:rPr>
      </w:pPr>
      <w:r w:rsidRPr="002F3761">
        <w:rPr>
          <w:rFonts w:cs="Times New Roman"/>
          <w:szCs w:val="24"/>
        </w:rPr>
        <w:t>„Nem, senki sem mondott semmit arról, hogy hol vagyok, vagy miért vagyok ott, fogalmam sem volt semmiről. És egy egész évet töltöttem abban a kórházban.”</w:t>
      </w:r>
      <w:r w:rsidRPr="002F3761">
        <w:rPr>
          <w:rStyle w:val="Lbjegyzet-hivatkozs"/>
          <w:rFonts w:cs="Times New Roman"/>
          <w:szCs w:val="24"/>
        </w:rPr>
        <w:footnoteReference w:id="52"/>
      </w:r>
    </w:p>
    <w:p w14:paraId="3F7C878B" w14:textId="77777777" w:rsidR="00FA6791" w:rsidRPr="002F3761" w:rsidRDefault="00FA6791" w:rsidP="002F3761">
      <w:pPr>
        <w:jc w:val="right"/>
        <w:rPr>
          <w:rFonts w:cs="Times New Roman"/>
          <w:szCs w:val="24"/>
        </w:rPr>
      </w:pPr>
      <w:r w:rsidRPr="002F3761">
        <w:rPr>
          <w:rFonts w:cs="Times New Roman"/>
          <w:szCs w:val="24"/>
        </w:rPr>
        <w:t>(47 éves lett hölgy)</w:t>
      </w:r>
    </w:p>
    <w:p w14:paraId="2768A7E1" w14:textId="77777777" w:rsidR="00FA6791" w:rsidRPr="002F3761" w:rsidRDefault="00FA6791" w:rsidP="002F3761">
      <w:pPr>
        <w:rPr>
          <w:rFonts w:cs="Times New Roman"/>
          <w:szCs w:val="24"/>
        </w:rPr>
      </w:pPr>
    </w:p>
    <w:p w14:paraId="74FD280B" w14:textId="77777777" w:rsidR="00A90E13" w:rsidRPr="002F3761" w:rsidRDefault="00A90E13" w:rsidP="002F3761">
      <w:pPr>
        <w:ind w:left="708"/>
        <w:rPr>
          <w:rFonts w:cs="Times New Roman"/>
          <w:szCs w:val="24"/>
        </w:rPr>
      </w:pPr>
      <w:r w:rsidRPr="002F3761">
        <w:rPr>
          <w:rFonts w:cs="Times New Roman"/>
          <w:szCs w:val="24"/>
        </w:rPr>
        <w:t xml:space="preserve">"Az egy nagyon erőszakos hely volt. Teljesen megsemmisültem, és sokkolódtam [...], nem hagytak számomra választást, és semmit sem magyaráztak </w:t>
      </w:r>
      <w:r w:rsidR="008A73BF" w:rsidRPr="002F3761">
        <w:rPr>
          <w:rFonts w:cs="Times New Roman"/>
          <w:szCs w:val="24"/>
        </w:rPr>
        <w:t xml:space="preserve">el [...]. </w:t>
      </w:r>
      <w:r w:rsidR="003363DC" w:rsidRPr="002F3761">
        <w:rPr>
          <w:rFonts w:cs="Times New Roman"/>
          <w:szCs w:val="24"/>
        </w:rPr>
        <w:t>Olyan volt, mint egy</w:t>
      </w:r>
      <w:r w:rsidRPr="002F3761">
        <w:rPr>
          <w:rFonts w:cs="Times New Roman"/>
          <w:szCs w:val="24"/>
        </w:rPr>
        <w:t xml:space="preserve"> letartóztatás [...]. Nem szeretem a pszichiáteremet, mivel kezelni akart engem, pedig én szabad akartam lenni."</w:t>
      </w:r>
      <w:r w:rsidR="0082798E" w:rsidRPr="002F3761">
        <w:rPr>
          <w:rStyle w:val="Lbjegyzet-hivatkozs"/>
          <w:rFonts w:cs="Times New Roman"/>
          <w:szCs w:val="24"/>
        </w:rPr>
        <w:footnoteReference w:id="53"/>
      </w:r>
    </w:p>
    <w:p w14:paraId="2EF62EE0" w14:textId="77777777" w:rsidR="00A90E13" w:rsidRPr="002F3761" w:rsidRDefault="00A90E13" w:rsidP="002F3761">
      <w:pPr>
        <w:jc w:val="right"/>
        <w:rPr>
          <w:rFonts w:cs="Times New Roman"/>
          <w:szCs w:val="24"/>
        </w:rPr>
      </w:pPr>
      <w:r w:rsidRPr="002F3761">
        <w:rPr>
          <w:rFonts w:cs="Times New Roman"/>
          <w:szCs w:val="24"/>
        </w:rPr>
        <w:t>(65 éves francia hölgy)</w:t>
      </w:r>
    </w:p>
    <w:p w14:paraId="35710B09" w14:textId="77777777" w:rsidR="00252A68" w:rsidRPr="002F3761" w:rsidRDefault="00252A68" w:rsidP="002F3761">
      <w:pPr>
        <w:rPr>
          <w:rFonts w:cs="Times New Roman"/>
          <w:szCs w:val="24"/>
        </w:rPr>
      </w:pPr>
    </w:p>
    <w:p w14:paraId="4CC132EF" w14:textId="77777777" w:rsidR="002B7190" w:rsidRPr="002F3761" w:rsidRDefault="002B7190" w:rsidP="002F3761">
      <w:pPr>
        <w:ind w:left="708"/>
        <w:rPr>
          <w:rFonts w:cs="Times New Roman"/>
          <w:szCs w:val="24"/>
        </w:rPr>
      </w:pPr>
      <w:r w:rsidRPr="002F3761">
        <w:rPr>
          <w:rFonts w:cs="Times New Roman"/>
          <w:szCs w:val="24"/>
        </w:rPr>
        <w:t>„Amikor gyógyszert adnak, senki sem mondja el pontosan, hogy mit is kell bevenned. Négy vagy öt tablettát adnak. Senki sem magyaráz el semmit.”</w:t>
      </w:r>
      <w:r w:rsidRPr="002F3761">
        <w:rPr>
          <w:rStyle w:val="Lbjegyzet-hivatkozs"/>
          <w:rFonts w:cs="Times New Roman"/>
          <w:szCs w:val="24"/>
        </w:rPr>
        <w:footnoteReference w:id="54"/>
      </w:r>
    </w:p>
    <w:p w14:paraId="2ACBCC6C" w14:textId="77777777" w:rsidR="002B7190" w:rsidRPr="002F3761" w:rsidRDefault="002B7190" w:rsidP="002F3761">
      <w:pPr>
        <w:jc w:val="right"/>
        <w:rPr>
          <w:rFonts w:cs="Times New Roman"/>
          <w:szCs w:val="24"/>
        </w:rPr>
      </w:pPr>
      <w:r w:rsidRPr="002F3761">
        <w:rPr>
          <w:rFonts w:cs="Times New Roman"/>
          <w:szCs w:val="24"/>
        </w:rPr>
        <w:t>(47 éves bolgár férfi)</w:t>
      </w:r>
    </w:p>
    <w:p w14:paraId="676E1DA7" w14:textId="77777777" w:rsidR="002B7190" w:rsidRPr="002F3761" w:rsidRDefault="002B7190" w:rsidP="002F3761">
      <w:pPr>
        <w:ind w:left="708"/>
        <w:rPr>
          <w:rFonts w:cs="Times New Roman"/>
          <w:szCs w:val="24"/>
        </w:rPr>
      </w:pPr>
    </w:p>
    <w:p w14:paraId="06748862" w14:textId="77777777" w:rsidR="00681818" w:rsidRPr="002F3761" w:rsidRDefault="0082798E" w:rsidP="002F3761">
      <w:pPr>
        <w:ind w:left="708"/>
        <w:rPr>
          <w:rFonts w:cs="Times New Roman"/>
          <w:szCs w:val="24"/>
        </w:rPr>
      </w:pPr>
      <w:r w:rsidRPr="002F3761">
        <w:rPr>
          <w:rFonts w:cs="Times New Roman"/>
          <w:szCs w:val="24"/>
        </w:rPr>
        <w:t>„Álltam, az ablakon dörömböltem és már azon voltam, hogy kiugrok. Ezután két őr lebirkózott, rám ültek, és adtak egy injekciót. Összességében négy férfi kényszerített az ágyba. Rendkívül megalázó volt."</w:t>
      </w:r>
      <w:r w:rsidRPr="002F3761">
        <w:rPr>
          <w:rStyle w:val="Lbjegyzet-hivatkozs"/>
          <w:rFonts w:cs="Times New Roman"/>
          <w:szCs w:val="24"/>
        </w:rPr>
        <w:footnoteReference w:id="55"/>
      </w:r>
    </w:p>
    <w:p w14:paraId="3FA0BC9E" w14:textId="77777777" w:rsidR="0082798E" w:rsidRPr="002F3761" w:rsidRDefault="0082798E" w:rsidP="002F3761">
      <w:pPr>
        <w:jc w:val="right"/>
        <w:rPr>
          <w:rFonts w:cs="Times New Roman"/>
          <w:szCs w:val="24"/>
        </w:rPr>
      </w:pPr>
      <w:r w:rsidRPr="002F3761">
        <w:rPr>
          <w:rFonts w:cs="Times New Roman"/>
          <w:szCs w:val="24"/>
        </w:rPr>
        <w:t>(Egy svéd hölgy)</w:t>
      </w:r>
    </w:p>
    <w:p w14:paraId="1470C8E6" w14:textId="77777777" w:rsidR="0082798E" w:rsidRPr="002F3761" w:rsidRDefault="0082798E" w:rsidP="002F3761">
      <w:pPr>
        <w:rPr>
          <w:rFonts w:cs="Times New Roman"/>
          <w:szCs w:val="24"/>
        </w:rPr>
      </w:pPr>
    </w:p>
    <w:p w14:paraId="07EC5BDC" w14:textId="3D2C9009" w:rsidR="001955A2" w:rsidRPr="002F3761" w:rsidRDefault="00D72E9F" w:rsidP="002F3761">
      <w:pPr>
        <w:rPr>
          <w:rFonts w:cs="Times New Roman"/>
          <w:szCs w:val="24"/>
        </w:rPr>
      </w:pPr>
      <w:r>
        <w:rPr>
          <w:rFonts w:cs="Times New Roman"/>
          <w:szCs w:val="24"/>
        </w:rPr>
        <w:t>Az alapvető jogok biztosa</w:t>
      </w:r>
      <w:r w:rsidR="005D275C" w:rsidRPr="002F3761">
        <w:rPr>
          <w:rFonts w:cs="Times New Roman"/>
          <w:szCs w:val="24"/>
        </w:rPr>
        <w:t xml:space="preserve"> az Egyesített Szent István és Szent László Kórház-Rendelőintézet, Merényi Gusztáv Kórház telephely, Pszichiátriai és Addiktológiai Centrum, Pszichiátriai Osztály zárt részlegén tett látogatás</w:t>
      </w:r>
      <w:r w:rsidR="00CB1757">
        <w:rPr>
          <w:rFonts w:cs="Times New Roman"/>
          <w:szCs w:val="24"/>
        </w:rPr>
        <w:t>á</w:t>
      </w:r>
      <w:r w:rsidR="005D275C" w:rsidRPr="002F3761">
        <w:rPr>
          <w:rFonts w:cs="Times New Roman"/>
          <w:szCs w:val="24"/>
        </w:rPr>
        <w:t>ról szóló jelentésében</w:t>
      </w:r>
      <w:r w:rsidR="005D275C" w:rsidRPr="002F3761">
        <w:rPr>
          <w:rStyle w:val="Lbjegyzet-hivatkozs"/>
          <w:rFonts w:cs="Times New Roman"/>
          <w:szCs w:val="24"/>
        </w:rPr>
        <w:footnoteReference w:id="56"/>
      </w:r>
      <w:r w:rsidR="005D275C" w:rsidRPr="002F3761">
        <w:rPr>
          <w:rFonts w:cs="Times New Roman"/>
          <w:szCs w:val="24"/>
        </w:rPr>
        <w:t xml:space="preserve"> hasonló megállapításokat tett, hangsúlyozva, hogy „a betegek sok esetben nem tudják, hogy milyen gyógyszereket vesznek be, és azoknak milyen mellékhatásai lehetnek.</w:t>
      </w:r>
      <w:r w:rsidR="009543A1" w:rsidRPr="002F3761">
        <w:rPr>
          <w:rFonts w:cs="Times New Roman"/>
          <w:szCs w:val="24"/>
        </w:rPr>
        <w:t>”</w:t>
      </w:r>
      <w:r w:rsidR="009543A1" w:rsidRPr="002F3761">
        <w:rPr>
          <w:rStyle w:val="Lbjegyzet-hivatkozs"/>
          <w:rFonts w:cs="Times New Roman"/>
          <w:szCs w:val="24"/>
        </w:rPr>
        <w:footnoteReference w:id="57"/>
      </w:r>
      <w:r w:rsidR="004736CE" w:rsidRPr="002F3761">
        <w:rPr>
          <w:rFonts w:cs="Times New Roman"/>
          <w:szCs w:val="24"/>
        </w:rPr>
        <w:t xml:space="preserve"> </w:t>
      </w:r>
      <w:r w:rsidR="001955A2" w:rsidRPr="002F3761">
        <w:rPr>
          <w:rFonts w:cs="Times New Roman"/>
          <w:szCs w:val="24"/>
        </w:rPr>
        <w:t xml:space="preserve">A zárt részlegen az egyik női beteg arra panaszkodott, hogy nagyon zavarja a közös előterű illemhely és fürdő, mert nem lehet nyugodtan WC-re menni és tisztálkodni. Egy férfi beteg ezt úgy fogalmazta meg, hogy nem </w:t>
      </w:r>
      <w:r w:rsidR="001955A2" w:rsidRPr="002F3761">
        <w:rPr>
          <w:rFonts w:cs="Times New Roman"/>
          <w:szCs w:val="24"/>
        </w:rPr>
        <w:lastRenderedPageBreak/>
        <w:t>érzi itt jól magát – többek között azért –, mert a férfi és a női WC egyben van, és az ülőke le van szaggatva.</w:t>
      </w:r>
      <w:r w:rsidR="001955A2" w:rsidRPr="002F3761">
        <w:rPr>
          <w:rStyle w:val="Lbjegyzet-hivatkozs"/>
          <w:rFonts w:cs="Times New Roman"/>
          <w:szCs w:val="24"/>
        </w:rPr>
        <w:footnoteReference w:id="58"/>
      </w:r>
    </w:p>
    <w:p w14:paraId="118CC7D0" w14:textId="77777777" w:rsidR="001955A2" w:rsidRPr="002F3761" w:rsidRDefault="001955A2" w:rsidP="002F3761">
      <w:pPr>
        <w:rPr>
          <w:rFonts w:cs="Times New Roman"/>
          <w:szCs w:val="24"/>
        </w:rPr>
      </w:pPr>
    </w:p>
    <w:p w14:paraId="60DA3593" w14:textId="77777777" w:rsidR="004736CE" w:rsidRPr="002F3761" w:rsidRDefault="004736CE" w:rsidP="002F3761">
      <w:pPr>
        <w:rPr>
          <w:rFonts w:cs="Times New Roman"/>
          <w:szCs w:val="24"/>
        </w:rPr>
      </w:pPr>
      <w:r w:rsidRPr="002F3761">
        <w:rPr>
          <w:rFonts w:cs="Times New Roman"/>
          <w:szCs w:val="24"/>
        </w:rPr>
        <w:t>A látogatás alkalmával az ombudsman munkatársai azt tapasztalták, hogy „az egyik személy jobb csuklóját az ágyhoz, míg a balt a radiátorhoz rögzítették. […] A beteg elmondása szerint akarata ellenére nyugtatózták le és sérelmezte, hogy nem tud telefonálni, nincs csengő, és csak kiabálni tud, ha szomjas.”</w:t>
      </w:r>
      <w:r w:rsidRPr="002F3761">
        <w:rPr>
          <w:rStyle w:val="Lbjegyzet-hivatkozs"/>
          <w:rFonts w:cs="Times New Roman"/>
          <w:szCs w:val="24"/>
        </w:rPr>
        <w:footnoteReference w:id="59"/>
      </w:r>
      <w:r w:rsidRPr="002F3761">
        <w:rPr>
          <w:rFonts w:cs="Times New Roman"/>
          <w:szCs w:val="24"/>
        </w:rPr>
        <w:t xml:space="preserve"> A nem-önkéntes pszichiátriai elhelyezéssel és kezeléssel kapcsolatosan az érintett személyek hangsúlyozták:</w:t>
      </w:r>
    </w:p>
    <w:p w14:paraId="2E463F64" w14:textId="77777777" w:rsidR="002B7190" w:rsidRPr="002F3761" w:rsidRDefault="002B7190" w:rsidP="002F3761">
      <w:pPr>
        <w:rPr>
          <w:rFonts w:cs="Times New Roman"/>
          <w:szCs w:val="24"/>
        </w:rPr>
      </w:pPr>
    </w:p>
    <w:p w14:paraId="57FAA3E3" w14:textId="77777777" w:rsidR="004736CE" w:rsidRPr="002F3761" w:rsidRDefault="008D4CB8" w:rsidP="002F3761">
      <w:pPr>
        <w:ind w:firstLine="708"/>
        <w:rPr>
          <w:rFonts w:cs="Times New Roman"/>
          <w:szCs w:val="24"/>
        </w:rPr>
      </w:pPr>
      <w:r w:rsidRPr="002F3761">
        <w:rPr>
          <w:rFonts w:cs="Times New Roman"/>
          <w:szCs w:val="24"/>
        </w:rPr>
        <w:t>„A</w:t>
      </w:r>
      <w:r w:rsidR="004736CE" w:rsidRPr="002F3761">
        <w:rPr>
          <w:rFonts w:cs="Times New Roman"/>
          <w:szCs w:val="24"/>
        </w:rPr>
        <w:t xml:space="preserve"> legrosszabb a kiszolgáltatottság.”</w:t>
      </w:r>
    </w:p>
    <w:p w14:paraId="456E1D05" w14:textId="77777777" w:rsidR="008D4CB8" w:rsidRPr="002F3761" w:rsidRDefault="008D4CB8" w:rsidP="002F3761">
      <w:pPr>
        <w:ind w:firstLine="708"/>
        <w:rPr>
          <w:rFonts w:cs="Times New Roman"/>
          <w:szCs w:val="24"/>
        </w:rPr>
      </w:pPr>
    </w:p>
    <w:p w14:paraId="2C5C35B0" w14:textId="77777777" w:rsidR="004736CE" w:rsidRPr="002F3761" w:rsidRDefault="008D4CB8" w:rsidP="002F3761">
      <w:pPr>
        <w:ind w:firstLine="708"/>
        <w:rPr>
          <w:rFonts w:cs="Times New Roman"/>
          <w:szCs w:val="24"/>
        </w:rPr>
      </w:pPr>
      <w:r w:rsidRPr="002F3761">
        <w:rPr>
          <w:rFonts w:cs="Times New Roman"/>
          <w:szCs w:val="24"/>
        </w:rPr>
        <w:t xml:space="preserve"> </w:t>
      </w:r>
      <w:r w:rsidR="004736CE" w:rsidRPr="002F3761">
        <w:rPr>
          <w:rFonts w:cs="Times New Roman"/>
          <w:szCs w:val="24"/>
        </w:rPr>
        <w:t>„Sehová nem lehet elvonulni egyedül.”</w:t>
      </w:r>
    </w:p>
    <w:p w14:paraId="688477DA" w14:textId="77777777" w:rsidR="002B7190" w:rsidRPr="002F3761" w:rsidRDefault="002B7190" w:rsidP="002F3761">
      <w:pPr>
        <w:rPr>
          <w:rFonts w:cs="Times New Roman"/>
          <w:szCs w:val="24"/>
        </w:rPr>
      </w:pPr>
    </w:p>
    <w:p w14:paraId="3CF6DB02" w14:textId="77777777" w:rsidR="00257EF4" w:rsidRPr="002F3761" w:rsidRDefault="004736CE" w:rsidP="002F3761">
      <w:pPr>
        <w:ind w:left="708"/>
        <w:rPr>
          <w:rFonts w:cs="Times New Roman"/>
          <w:szCs w:val="24"/>
        </w:rPr>
      </w:pPr>
      <w:r w:rsidRPr="002F3761">
        <w:rPr>
          <w:rFonts w:cs="Times New Roman"/>
          <w:szCs w:val="24"/>
        </w:rPr>
        <w:t>„</w:t>
      </w:r>
      <w:r w:rsidR="003363DC" w:rsidRPr="002F3761">
        <w:rPr>
          <w:rFonts w:cs="Times New Roman"/>
          <w:szCs w:val="24"/>
        </w:rPr>
        <w:t>E</w:t>
      </w:r>
      <w:r w:rsidRPr="002F3761">
        <w:rPr>
          <w:rFonts w:cs="Times New Roman"/>
          <w:szCs w:val="24"/>
        </w:rPr>
        <w:t xml:space="preserve">z </w:t>
      </w:r>
      <w:r w:rsidR="003363DC" w:rsidRPr="002F3761">
        <w:rPr>
          <w:rFonts w:cs="Times New Roman"/>
          <w:szCs w:val="24"/>
        </w:rPr>
        <w:t xml:space="preserve">[az, hogy az udvarra sem lehet kimenni] </w:t>
      </w:r>
      <w:r w:rsidRPr="002F3761">
        <w:rPr>
          <w:rFonts w:cs="Times New Roman"/>
          <w:szCs w:val="24"/>
        </w:rPr>
        <w:t>az én esetemben még hagyján, mert én nem régóta vagyok itt, de vannak, akik hónapok óta itt élnek a zárt részlegen.”</w:t>
      </w:r>
    </w:p>
    <w:p w14:paraId="653CBC62" w14:textId="77777777" w:rsidR="00D676D3" w:rsidRPr="002F3761" w:rsidRDefault="00D676D3" w:rsidP="002F3761">
      <w:pPr>
        <w:rPr>
          <w:rFonts w:cs="Times New Roman"/>
          <w:szCs w:val="24"/>
        </w:rPr>
      </w:pPr>
    </w:p>
    <w:p w14:paraId="6613E194" w14:textId="77777777" w:rsidR="00257EF4" w:rsidRPr="002F3761" w:rsidRDefault="008D4CB8" w:rsidP="002F3761">
      <w:pPr>
        <w:ind w:left="708"/>
        <w:rPr>
          <w:rFonts w:cs="Times New Roman"/>
          <w:szCs w:val="24"/>
        </w:rPr>
      </w:pPr>
      <w:r w:rsidRPr="002F3761">
        <w:rPr>
          <w:rFonts w:cs="Times New Roman"/>
          <w:szCs w:val="24"/>
        </w:rPr>
        <w:t>„Nem emberként kezelnek bennünket, de nem is állatként. Leginkább élvezik, hogy hatalmuk van”.</w:t>
      </w:r>
    </w:p>
    <w:p w14:paraId="23C1CCC6" w14:textId="77777777" w:rsidR="00257EF4" w:rsidRPr="002F3761" w:rsidRDefault="00257EF4" w:rsidP="002F3761">
      <w:pPr>
        <w:rPr>
          <w:rFonts w:cs="Times New Roman"/>
          <w:szCs w:val="24"/>
        </w:rPr>
      </w:pPr>
    </w:p>
    <w:p w14:paraId="5CD991E2" w14:textId="77777777" w:rsidR="00257EF4" w:rsidRPr="002F3761" w:rsidRDefault="008D4CB8" w:rsidP="002F3761">
      <w:pPr>
        <w:ind w:left="708"/>
        <w:rPr>
          <w:rFonts w:cs="Times New Roman"/>
          <w:szCs w:val="24"/>
        </w:rPr>
      </w:pPr>
      <w:r w:rsidRPr="002F3761">
        <w:rPr>
          <w:rFonts w:cs="Times New Roman"/>
          <w:szCs w:val="24"/>
        </w:rPr>
        <w:t>„Semmilyen injekciót nem fogadok el, de ennek ellenére beoltottak. Nem értettem vele egyet. Nem vagyok egy őrjöngő típus, nyugtatókat sem szoktam szedni. Kábaság van rajtam azóta is.”</w:t>
      </w:r>
    </w:p>
    <w:p w14:paraId="21BE6FA8" w14:textId="77777777" w:rsidR="00091336" w:rsidRPr="002F3761" w:rsidRDefault="00091336" w:rsidP="002F3761">
      <w:pPr>
        <w:rPr>
          <w:rFonts w:cs="Times New Roman"/>
          <w:szCs w:val="24"/>
        </w:rPr>
      </w:pPr>
    </w:p>
    <w:p w14:paraId="21CE50BB" w14:textId="77777777" w:rsidR="00630F4B" w:rsidRPr="002F3761" w:rsidRDefault="00630F4B" w:rsidP="002F3761">
      <w:pPr>
        <w:rPr>
          <w:rFonts w:cs="Times New Roman"/>
          <w:szCs w:val="24"/>
        </w:rPr>
      </w:pPr>
      <w:r w:rsidRPr="002F3761">
        <w:rPr>
          <w:rFonts w:cs="Times New Roman"/>
          <w:szCs w:val="24"/>
        </w:rPr>
        <w:t>Az alapvető jogok biztosa az egészségügyi pszichiátriai intézménybe történő</w:t>
      </w:r>
      <w:r w:rsidR="00D01DDB" w:rsidRPr="002F3761">
        <w:rPr>
          <w:rFonts w:cs="Times New Roman"/>
          <w:szCs w:val="24"/>
        </w:rPr>
        <w:t xml:space="preserve"> nem-önkéntes</w:t>
      </w:r>
      <w:r w:rsidRPr="002F3761">
        <w:rPr>
          <w:rFonts w:cs="Times New Roman"/>
          <w:szCs w:val="24"/>
        </w:rPr>
        <w:t xml:space="preserve"> elhelyezéssel kapcsolatos élményekhez hasonló tapasztalatokat tárt fel a tartós bentlakást nyújtó szociális intézményekben történő nem-önkéntes elhelyezésekkel összefüggésben is.</w:t>
      </w:r>
      <w:r w:rsidRPr="002F3761">
        <w:rPr>
          <w:rStyle w:val="Lbjegyzet-hivatkozs"/>
          <w:rFonts w:cs="Times New Roman"/>
          <w:szCs w:val="24"/>
        </w:rPr>
        <w:footnoteReference w:id="60"/>
      </w:r>
    </w:p>
    <w:p w14:paraId="02FBE177" w14:textId="77777777" w:rsidR="00630F4B" w:rsidRPr="002F3761" w:rsidRDefault="00630F4B" w:rsidP="002F3761">
      <w:pPr>
        <w:rPr>
          <w:rFonts w:cs="Times New Roman"/>
          <w:szCs w:val="24"/>
        </w:rPr>
      </w:pPr>
    </w:p>
    <w:p w14:paraId="1405494E" w14:textId="77777777" w:rsidR="0074412C" w:rsidRPr="002F3761" w:rsidRDefault="0074412C" w:rsidP="002F3761">
      <w:pPr>
        <w:rPr>
          <w:rFonts w:cs="Times New Roman"/>
          <w:szCs w:val="24"/>
        </w:rPr>
      </w:pPr>
      <w:r w:rsidRPr="002F3761">
        <w:rPr>
          <w:rFonts w:cs="Times New Roman"/>
          <w:szCs w:val="24"/>
        </w:rPr>
        <w:t xml:space="preserve">Bár </w:t>
      </w:r>
      <w:r w:rsidR="00630F4B" w:rsidRPr="002F3761">
        <w:rPr>
          <w:rFonts w:cs="Times New Roman"/>
          <w:szCs w:val="24"/>
        </w:rPr>
        <w:t xml:space="preserve">az évtizedek során </w:t>
      </w:r>
      <w:r w:rsidRPr="002F3761">
        <w:rPr>
          <w:rFonts w:cs="Times New Roman"/>
          <w:szCs w:val="24"/>
        </w:rPr>
        <w:t>újabb és újabb emberi jogi dokumentumok szület</w:t>
      </w:r>
      <w:r w:rsidR="00630F4B" w:rsidRPr="002F3761">
        <w:rPr>
          <w:rFonts w:cs="Times New Roman"/>
          <w:szCs w:val="24"/>
        </w:rPr>
        <w:t>tek,</w:t>
      </w:r>
      <w:r w:rsidRPr="002F3761">
        <w:rPr>
          <w:rFonts w:cs="Times New Roman"/>
          <w:szCs w:val="24"/>
        </w:rPr>
        <w:t xml:space="preserve"> a megélt tapasztalatok </w:t>
      </w:r>
      <w:r w:rsidR="00630F4B" w:rsidRPr="002F3761">
        <w:rPr>
          <w:rFonts w:cs="Times New Roman"/>
          <w:szCs w:val="24"/>
        </w:rPr>
        <w:t>h</w:t>
      </w:r>
      <w:r w:rsidRPr="002F3761">
        <w:rPr>
          <w:rFonts w:cs="Times New Roman"/>
          <w:szCs w:val="24"/>
        </w:rPr>
        <w:t>asonló</w:t>
      </w:r>
      <w:r w:rsidR="00630F4B" w:rsidRPr="002F3761">
        <w:rPr>
          <w:rFonts w:cs="Times New Roman"/>
          <w:szCs w:val="24"/>
        </w:rPr>
        <w:t xml:space="preserve">ságokat mutatnak. </w:t>
      </w:r>
      <w:r w:rsidRPr="002F3761">
        <w:rPr>
          <w:rFonts w:cs="Times New Roman"/>
          <w:szCs w:val="24"/>
        </w:rPr>
        <w:t>Egy morfinista orvos pszichiátriai zárt részlegen megélt egyik tapasztalatát így beszéli el a XX. század második felében</w:t>
      </w:r>
      <w:r w:rsidR="00630F4B" w:rsidRPr="002F3761">
        <w:rPr>
          <w:rFonts w:cs="Times New Roman"/>
          <w:szCs w:val="24"/>
        </w:rPr>
        <w:t>, Magyarországon</w:t>
      </w:r>
      <w:r w:rsidRPr="002F3761">
        <w:rPr>
          <w:rFonts w:cs="Times New Roman"/>
          <w:szCs w:val="24"/>
        </w:rPr>
        <w:t>:</w:t>
      </w:r>
    </w:p>
    <w:p w14:paraId="29D9FC39" w14:textId="77777777" w:rsidR="0074412C" w:rsidRPr="002F3761" w:rsidRDefault="0074412C" w:rsidP="002F3761">
      <w:pPr>
        <w:rPr>
          <w:rFonts w:cs="Times New Roman"/>
          <w:szCs w:val="24"/>
        </w:rPr>
      </w:pPr>
    </w:p>
    <w:p w14:paraId="2AADDABE" w14:textId="77777777" w:rsidR="0074412C" w:rsidRPr="002F3761" w:rsidRDefault="0074412C" w:rsidP="002F3761">
      <w:pPr>
        <w:ind w:left="708"/>
        <w:rPr>
          <w:rFonts w:cs="Times New Roman"/>
          <w:szCs w:val="24"/>
        </w:rPr>
      </w:pPr>
      <w:r w:rsidRPr="002F3761">
        <w:rPr>
          <w:rFonts w:cs="Times New Roman"/>
          <w:szCs w:val="24"/>
        </w:rPr>
        <w:t>„Az egyik helyen volt egy sokat nyüzsgő öreg beteg, éjjel nem tudtunk tőle aludni. Az ápolók se, ezért mindennap erős nyugtatót adtak neki. Túladagolták: előbb légzési zavar lépett fel, aztán tüdőgyulladás, aztán tüdővizenyő. Az el is vitte.”</w:t>
      </w:r>
      <w:r w:rsidRPr="002F3761">
        <w:rPr>
          <w:rStyle w:val="Lbjegyzet-hivatkozs"/>
          <w:rFonts w:cs="Times New Roman"/>
          <w:szCs w:val="24"/>
        </w:rPr>
        <w:footnoteReference w:id="61"/>
      </w:r>
    </w:p>
    <w:p w14:paraId="6AAD822A" w14:textId="77777777" w:rsidR="0074412C" w:rsidRPr="002F3761" w:rsidRDefault="0074412C" w:rsidP="002F3761">
      <w:pPr>
        <w:rPr>
          <w:rFonts w:cs="Times New Roman"/>
          <w:szCs w:val="24"/>
        </w:rPr>
      </w:pPr>
    </w:p>
    <w:p w14:paraId="1D67689D" w14:textId="77777777" w:rsidR="006A15DA" w:rsidRPr="002F3761" w:rsidRDefault="006A15DA" w:rsidP="002F3761">
      <w:pPr>
        <w:rPr>
          <w:rFonts w:cs="Times New Roman"/>
          <w:szCs w:val="24"/>
        </w:rPr>
      </w:pPr>
      <w:r w:rsidRPr="002F3761">
        <w:rPr>
          <w:rFonts w:cs="Times New Roman"/>
          <w:szCs w:val="24"/>
        </w:rPr>
        <w:t>Az itt bemutatott tapasztalatok arról tanúskodnak, hogy a CRPD fentebb idézett célját még nem értük el; a pszichoszociális fogyatékossággal élő emberek még nem élhetnek szabadon valamennyi emberi jogukkal és alapvető szabadságukkal, és társadalmunk még nem tartja tiszteletben a velük született emberi méltóságukat.</w:t>
      </w:r>
    </w:p>
    <w:p w14:paraId="62C9349D" w14:textId="77777777" w:rsidR="006A15DA" w:rsidRPr="002F3761" w:rsidRDefault="006A15DA" w:rsidP="002F3761">
      <w:pPr>
        <w:rPr>
          <w:rFonts w:cs="Times New Roman"/>
          <w:szCs w:val="24"/>
        </w:rPr>
      </w:pPr>
    </w:p>
    <w:p w14:paraId="5BF468D7" w14:textId="6795B33A" w:rsidR="001955A2" w:rsidRPr="000B427C" w:rsidRDefault="005C6999" w:rsidP="000B427C">
      <w:pPr>
        <w:pStyle w:val="Cmsor1"/>
        <w:rPr>
          <w:rFonts w:ascii="Times New Roman" w:hAnsi="Times New Roman" w:cs="Times New Roman"/>
          <w:color w:val="auto"/>
        </w:rPr>
      </w:pPr>
      <w:bookmarkStart w:id="14" w:name="_Toc451515104"/>
      <w:r w:rsidRPr="000B427C">
        <w:rPr>
          <w:rFonts w:ascii="Times New Roman" w:hAnsi="Times New Roman" w:cs="Times New Roman"/>
          <w:color w:val="auto"/>
        </w:rPr>
        <w:lastRenderedPageBreak/>
        <w:t>4</w:t>
      </w:r>
      <w:r w:rsidR="003F0F4A" w:rsidRPr="000B427C">
        <w:rPr>
          <w:rFonts w:ascii="Times New Roman" w:hAnsi="Times New Roman" w:cs="Times New Roman"/>
          <w:color w:val="auto"/>
        </w:rPr>
        <w:t xml:space="preserve">. </w:t>
      </w:r>
      <w:r w:rsidR="00476208" w:rsidRPr="000B427C">
        <w:rPr>
          <w:rFonts w:ascii="Times New Roman" w:hAnsi="Times New Roman" w:cs="Times New Roman"/>
          <w:color w:val="auto"/>
        </w:rPr>
        <w:t>A Nem</w:t>
      </w:r>
      <w:r w:rsidR="001955A2" w:rsidRPr="000B427C">
        <w:rPr>
          <w:rFonts w:ascii="Times New Roman" w:hAnsi="Times New Roman" w:cs="Times New Roman"/>
          <w:color w:val="auto"/>
        </w:rPr>
        <w:t>-</w:t>
      </w:r>
      <w:r w:rsidR="00476208" w:rsidRPr="000B427C">
        <w:rPr>
          <w:rFonts w:ascii="Times New Roman" w:hAnsi="Times New Roman" w:cs="Times New Roman"/>
          <w:color w:val="auto"/>
        </w:rPr>
        <w:t xml:space="preserve">önkéntes pszichiátriai elhelyezés és </w:t>
      </w:r>
      <w:r w:rsidR="001955A2" w:rsidRPr="000B427C">
        <w:rPr>
          <w:rFonts w:ascii="Times New Roman" w:hAnsi="Times New Roman" w:cs="Times New Roman"/>
          <w:color w:val="auto"/>
        </w:rPr>
        <w:t xml:space="preserve">nem-önkéntes </w:t>
      </w:r>
      <w:r w:rsidR="00476208" w:rsidRPr="000B427C">
        <w:rPr>
          <w:rFonts w:ascii="Times New Roman" w:hAnsi="Times New Roman" w:cs="Times New Roman"/>
          <w:color w:val="auto"/>
        </w:rPr>
        <w:t>kezelés emberi jogi problémái</w:t>
      </w:r>
      <w:r w:rsidR="001955A2" w:rsidRPr="000B427C">
        <w:rPr>
          <w:rFonts w:ascii="Times New Roman" w:hAnsi="Times New Roman" w:cs="Times New Roman"/>
          <w:color w:val="auto"/>
        </w:rPr>
        <w:t>,</w:t>
      </w:r>
      <w:r w:rsidR="001955A2" w:rsidRPr="000B427C">
        <w:rPr>
          <w:rFonts w:ascii="Times New Roman" w:eastAsia="Calibri" w:hAnsi="Times New Roman" w:cs="Times New Roman"/>
          <w:color w:val="auto"/>
        </w:rPr>
        <w:t xml:space="preserve"> különös tekintettel </w:t>
      </w:r>
      <w:r w:rsidR="001955A2" w:rsidRPr="000B427C">
        <w:rPr>
          <w:rFonts w:ascii="Times New Roman" w:hAnsi="Times New Roman" w:cs="Times New Roman"/>
          <w:color w:val="auto"/>
        </w:rPr>
        <w:t>a nemzetközi emberi jogi jogfejlődésre</w:t>
      </w:r>
      <w:bookmarkEnd w:id="14"/>
    </w:p>
    <w:p w14:paraId="4A66D8F8" w14:textId="77777777" w:rsidR="001955A2" w:rsidRPr="002F3761" w:rsidRDefault="001955A2" w:rsidP="002F3761">
      <w:pPr>
        <w:rPr>
          <w:rFonts w:cs="Times New Roman"/>
          <w:b/>
          <w:bCs/>
          <w:szCs w:val="24"/>
        </w:rPr>
      </w:pPr>
    </w:p>
    <w:p w14:paraId="669E8C44" w14:textId="719E704D" w:rsidR="0092589D" w:rsidRPr="002F3761" w:rsidRDefault="0092589D" w:rsidP="002F3761">
      <w:pPr>
        <w:contextualSpacing/>
        <w:rPr>
          <w:rFonts w:eastAsia="Calibri" w:cs="Times New Roman"/>
          <w:bCs/>
          <w:szCs w:val="24"/>
        </w:rPr>
      </w:pPr>
      <w:r w:rsidRPr="002F3761">
        <w:rPr>
          <w:rFonts w:eastAsia="Calibri" w:cs="Times New Roman"/>
          <w:bCs/>
          <w:szCs w:val="24"/>
        </w:rPr>
        <w:t>A nem-önkéntes pszichiátriai elhelyezés és a nem-önkéntes kezelés</w:t>
      </w:r>
      <w:r w:rsidR="00784F4A" w:rsidRPr="002F3761">
        <w:rPr>
          <w:rFonts w:eastAsia="Calibri" w:cs="Times New Roman"/>
          <w:bCs/>
          <w:szCs w:val="24"/>
        </w:rPr>
        <w:t>, valamint</w:t>
      </w:r>
      <w:r w:rsidRPr="002F3761">
        <w:rPr>
          <w:rFonts w:eastAsia="Calibri" w:cs="Times New Roman"/>
          <w:bCs/>
          <w:szCs w:val="24"/>
        </w:rPr>
        <w:t xml:space="preserve"> az ezekkel kapcsolatos emberi jogi problémák kérdésének vizsgálata három szinten történ</w:t>
      </w:r>
      <w:r w:rsidR="00600113" w:rsidRPr="002F3761">
        <w:rPr>
          <w:rFonts w:eastAsia="Calibri" w:cs="Times New Roman"/>
          <w:bCs/>
          <w:szCs w:val="24"/>
        </w:rPr>
        <w:t>het</w:t>
      </w:r>
      <w:r w:rsidRPr="002F3761">
        <w:rPr>
          <w:rFonts w:eastAsia="Calibri" w:cs="Times New Roman"/>
          <w:bCs/>
          <w:szCs w:val="24"/>
        </w:rPr>
        <w:t>. Míg az első és a második szintet alapvetően a régi</w:t>
      </w:r>
      <w:r w:rsidR="003363DC" w:rsidRPr="002F3761">
        <w:rPr>
          <w:rFonts w:eastAsia="Calibri" w:cs="Times New Roman"/>
          <w:bCs/>
          <w:szCs w:val="24"/>
        </w:rPr>
        <w:t>, az orvosi</w:t>
      </w:r>
      <w:r w:rsidRPr="002F3761">
        <w:rPr>
          <w:rFonts w:eastAsia="Calibri" w:cs="Times New Roman"/>
          <w:bCs/>
          <w:szCs w:val="24"/>
        </w:rPr>
        <w:t xml:space="preserve"> paradigma keretei </w:t>
      </w:r>
      <w:r w:rsidR="005761B3" w:rsidRPr="002F3761">
        <w:rPr>
          <w:rFonts w:eastAsia="Calibri" w:cs="Times New Roman"/>
          <w:bCs/>
          <w:szCs w:val="24"/>
        </w:rPr>
        <w:t xml:space="preserve">jellemzik azzal, hogy az emberi jogi paradigma tételei többé-kevésbé </w:t>
      </w:r>
      <w:proofErr w:type="gramStart"/>
      <w:r w:rsidR="005761B3" w:rsidRPr="002F3761">
        <w:rPr>
          <w:rFonts w:eastAsia="Calibri" w:cs="Times New Roman"/>
          <w:bCs/>
          <w:szCs w:val="24"/>
        </w:rPr>
        <w:t>beszüremked</w:t>
      </w:r>
      <w:r w:rsidR="00784F4A" w:rsidRPr="002F3761">
        <w:rPr>
          <w:rFonts w:eastAsia="Calibri" w:cs="Times New Roman"/>
          <w:bCs/>
          <w:szCs w:val="24"/>
        </w:rPr>
        <w:t>(</w:t>
      </w:r>
      <w:proofErr w:type="gramEnd"/>
      <w:r w:rsidR="00784F4A" w:rsidRPr="002F3761">
        <w:rPr>
          <w:rFonts w:eastAsia="Calibri" w:cs="Times New Roman"/>
          <w:bCs/>
          <w:szCs w:val="24"/>
        </w:rPr>
        <w:t>het)</w:t>
      </w:r>
      <w:r w:rsidR="005761B3" w:rsidRPr="002F3761">
        <w:rPr>
          <w:rFonts w:eastAsia="Calibri" w:cs="Times New Roman"/>
          <w:bCs/>
          <w:szCs w:val="24"/>
        </w:rPr>
        <w:t xml:space="preserve">nek e keretek közé, </w:t>
      </w:r>
      <w:r w:rsidRPr="002F3761">
        <w:rPr>
          <w:rFonts w:eastAsia="Calibri" w:cs="Times New Roman"/>
          <w:bCs/>
          <w:szCs w:val="24"/>
        </w:rPr>
        <w:t>addig a harmadik szint</w:t>
      </w:r>
      <w:r w:rsidR="005761B3" w:rsidRPr="002F3761">
        <w:rPr>
          <w:rFonts w:eastAsia="Calibri" w:cs="Times New Roman"/>
          <w:bCs/>
          <w:szCs w:val="24"/>
        </w:rPr>
        <w:t xml:space="preserve">et </w:t>
      </w:r>
      <w:r w:rsidR="001D1FC2">
        <w:rPr>
          <w:rFonts w:eastAsia="Calibri" w:cs="Times New Roman"/>
          <w:bCs/>
          <w:szCs w:val="24"/>
        </w:rPr>
        <w:t xml:space="preserve">tisztán </w:t>
      </w:r>
      <w:r w:rsidRPr="002F3761">
        <w:rPr>
          <w:rFonts w:eastAsia="Calibri" w:cs="Times New Roman"/>
          <w:bCs/>
          <w:szCs w:val="24"/>
        </w:rPr>
        <w:t xml:space="preserve">az emberi jogi paradigma határai között </w:t>
      </w:r>
      <w:r w:rsidR="00784F4A" w:rsidRPr="002F3761">
        <w:rPr>
          <w:rFonts w:eastAsia="Calibri" w:cs="Times New Roman"/>
          <w:bCs/>
          <w:szCs w:val="24"/>
        </w:rPr>
        <w:t xml:space="preserve">kell </w:t>
      </w:r>
      <w:r w:rsidRPr="002F3761">
        <w:rPr>
          <w:rFonts w:eastAsia="Calibri" w:cs="Times New Roman"/>
          <w:bCs/>
          <w:szCs w:val="24"/>
        </w:rPr>
        <w:t>értelmez</w:t>
      </w:r>
      <w:r w:rsidR="00EF70D4" w:rsidRPr="002F3761">
        <w:rPr>
          <w:rFonts w:eastAsia="Calibri" w:cs="Times New Roman"/>
          <w:bCs/>
          <w:szCs w:val="24"/>
        </w:rPr>
        <w:t>nünk.</w:t>
      </w:r>
    </w:p>
    <w:p w14:paraId="6B77F54D" w14:textId="77777777" w:rsidR="0092589D" w:rsidRPr="002F3761" w:rsidRDefault="0092589D" w:rsidP="002F3761">
      <w:pPr>
        <w:contextualSpacing/>
        <w:rPr>
          <w:rFonts w:eastAsia="Calibri" w:cs="Times New Roman"/>
          <w:bCs/>
          <w:szCs w:val="24"/>
        </w:rPr>
      </w:pPr>
    </w:p>
    <w:p w14:paraId="740A7AB0" w14:textId="77777777" w:rsidR="00600113" w:rsidRPr="002F3761" w:rsidRDefault="0092589D" w:rsidP="002F3761">
      <w:pPr>
        <w:contextualSpacing/>
        <w:rPr>
          <w:rFonts w:eastAsia="Calibri" w:cs="Times New Roman"/>
          <w:bCs/>
          <w:szCs w:val="24"/>
        </w:rPr>
      </w:pPr>
      <w:r w:rsidRPr="002F3761">
        <w:rPr>
          <w:rFonts w:eastAsia="Calibri" w:cs="Times New Roman"/>
          <w:bCs/>
          <w:szCs w:val="24"/>
        </w:rPr>
        <w:t xml:space="preserve">Az </w:t>
      </w:r>
      <w:r w:rsidRPr="002F3761">
        <w:rPr>
          <w:rFonts w:eastAsia="Calibri" w:cs="Times New Roman"/>
          <w:bCs/>
          <w:i/>
          <w:szCs w:val="24"/>
        </w:rPr>
        <w:t>első szint</w:t>
      </w:r>
      <w:r w:rsidRPr="002F3761">
        <w:rPr>
          <w:rFonts w:eastAsia="Calibri" w:cs="Times New Roman"/>
          <w:bCs/>
          <w:szCs w:val="24"/>
        </w:rPr>
        <w:t xml:space="preserve"> az, amikor a </w:t>
      </w:r>
      <w:r w:rsidR="00D01DDB" w:rsidRPr="002F3761">
        <w:rPr>
          <w:rFonts w:eastAsia="Calibri" w:cs="Times New Roman"/>
          <w:bCs/>
          <w:szCs w:val="24"/>
        </w:rPr>
        <w:t xml:space="preserve">nem-önkéntes </w:t>
      </w:r>
      <w:r w:rsidRPr="002F3761">
        <w:rPr>
          <w:rFonts w:eastAsia="Calibri" w:cs="Times New Roman"/>
          <w:bCs/>
          <w:szCs w:val="24"/>
        </w:rPr>
        <w:t xml:space="preserve">intézeti elhelyezést és a </w:t>
      </w:r>
      <w:r w:rsidR="00D01DDB" w:rsidRPr="002F3761">
        <w:rPr>
          <w:rFonts w:eastAsia="Calibri" w:cs="Times New Roman"/>
          <w:bCs/>
          <w:szCs w:val="24"/>
        </w:rPr>
        <w:t xml:space="preserve">nem-önkéntes </w:t>
      </w:r>
      <w:r w:rsidRPr="002F3761">
        <w:rPr>
          <w:rFonts w:eastAsia="Calibri" w:cs="Times New Roman"/>
          <w:bCs/>
          <w:szCs w:val="24"/>
        </w:rPr>
        <w:t xml:space="preserve">gyógykezelést előíró vagy lehetővé tevő jogi szabályozás nem kérdőjeleződik meg, azonban e rendelkezések végrehajtása során olyan magatartásokkal, bánásmódokkal és mulasztásokkal szembesülünk, amelyekkel összefüggésben </w:t>
      </w:r>
      <w:r w:rsidR="00784F4A" w:rsidRPr="002F3761">
        <w:rPr>
          <w:rFonts w:eastAsia="Calibri" w:cs="Times New Roman"/>
          <w:bCs/>
          <w:szCs w:val="24"/>
        </w:rPr>
        <w:t>jog</w:t>
      </w:r>
      <w:r w:rsidRPr="002F3761">
        <w:rPr>
          <w:rFonts w:eastAsia="Calibri" w:cs="Times New Roman"/>
          <w:bCs/>
          <w:szCs w:val="24"/>
        </w:rPr>
        <w:t xml:space="preserve">sérelmeket állapíthatunk meg. </w:t>
      </w:r>
      <w:r w:rsidR="00600113" w:rsidRPr="002F3761">
        <w:rPr>
          <w:rFonts w:eastAsia="Calibri" w:cs="Times New Roman"/>
          <w:bCs/>
          <w:i/>
          <w:szCs w:val="24"/>
        </w:rPr>
        <w:t>A probléma tehát nem a jogi szabályozással van, hanem azok nem megfelelő végrehajtásával</w:t>
      </w:r>
      <w:r w:rsidR="00600113" w:rsidRPr="002F3761">
        <w:rPr>
          <w:rFonts w:eastAsia="Calibri" w:cs="Times New Roman"/>
          <w:bCs/>
          <w:szCs w:val="24"/>
        </w:rPr>
        <w:t xml:space="preserve">. </w:t>
      </w:r>
      <w:r w:rsidRPr="002F3761">
        <w:rPr>
          <w:rFonts w:eastAsia="Calibri" w:cs="Times New Roman"/>
          <w:bCs/>
          <w:szCs w:val="24"/>
        </w:rPr>
        <w:t xml:space="preserve">Ilyen sérelmek lehetnek például, hogy a betegek számára nem biztosított </w:t>
      </w:r>
      <w:r w:rsidR="00600113" w:rsidRPr="002F3761">
        <w:rPr>
          <w:rFonts w:eastAsia="Calibri" w:cs="Times New Roman"/>
          <w:bCs/>
          <w:szCs w:val="24"/>
        </w:rPr>
        <w:t xml:space="preserve">a jogszabályban előírt </w:t>
      </w:r>
      <w:r w:rsidRPr="002F3761">
        <w:rPr>
          <w:rFonts w:eastAsia="Calibri" w:cs="Times New Roman"/>
          <w:bCs/>
          <w:szCs w:val="24"/>
        </w:rPr>
        <w:t xml:space="preserve">elegendő </w:t>
      </w:r>
      <w:r w:rsidR="005761B3" w:rsidRPr="002F3761">
        <w:rPr>
          <w:rFonts w:eastAsia="Calibri" w:cs="Times New Roman"/>
          <w:bCs/>
          <w:szCs w:val="24"/>
        </w:rPr>
        <w:t>férőhely</w:t>
      </w:r>
      <w:r w:rsidR="00600113" w:rsidRPr="002F3761">
        <w:rPr>
          <w:rFonts w:eastAsia="Calibri" w:cs="Times New Roman"/>
          <w:bCs/>
          <w:szCs w:val="24"/>
        </w:rPr>
        <w:t xml:space="preserve"> vagy az ápolószemélyzet létszáma. Ezen a szinten jelentkezhet megállapításként, hogy – a jogszabályi előírásokkal ellentétben – </w:t>
      </w:r>
      <w:r w:rsidR="00C67B4E" w:rsidRPr="002F3761">
        <w:rPr>
          <w:rFonts w:eastAsia="Calibri" w:cs="Times New Roman"/>
          <w:bCs/>
          <w:szCs w:val="24"/>
        </w:rPr>
        <w:t xml:space="preserve">a kötelező pszichiátriai elhelyezés törvényességéről szóló bírói meghallgatásra és döntésre nem kerül sor időben; </w:t>
      </w:r>
      <w:r w:rsidR="00600113" w:rsidRPr="002F3761">
        <w:rPr>
          <w:rFonts w:eastAsia="Calibri" w:cs="Times New Roman"/>
          <w:bCs/>
          <w:szCs w:val="24"/>
        </w:rPr>
        <w:t>a korlátozó intézkedések protokollja nem publikus; a korlátozó intézkedéseket nem az előírt módon alkalmazzák; a korlátozó intézkedések dokumentálására szolgáló adatlapokat nem (megfelelően) töltik ki.</w:t>
      </w:r>
      <w:r w:rsidR="00C67B4E" w:rsidRPr="002F3761">
        <w:rPr>
          <w:rStyle w:val="Lbjegyzet-hivatkozs"/>
          <w:rFonts w:eastAsia="Calibri" w:cs="Times New Roman"/>
          <w:bCs/>
          <w:szCs w:val="24"/>
        </w:rPr>
        <w:footnoteReference w:id="62"/>
      </w:r>
    </w:p>
    <w:p w14:paraId="5111AB8C" w14:textId="77777777" w:rsidR="00600113" w:rsidRPr="002F3761" w:rsidRDefault="00600113" w:rsidP="002F3761">
      <w:pPr>
        <w:contextualSpacing/>
        <w:rPr>
          <w:rFonts w:eastAsia="Calibri" w:cs="Times New Roman"/>
          <w:bCs/>
          <w:szCs w:val="24"/>
        </w:rPr>
      </w:pPr>
    </w:p>
    <w:p w14:paraId="2DEEEC35" w14:textId="77777777" w:rsidR="0092589D" w:rsidRPr="002F3761" w:rsidRDefault="0092589D" w:rsidP="002F3761">
      <w:pPr>
        <w:contextualSpacing/>
        <w:rPr>
          <w:rFonts w:eastAsia="Calibri" w:cs="Times New Roman"/>
          <w:bCs/>
          <w:szCs w:val="24"/>
        </w:rPr>
      </w:pPr>
      <w:r w:rsidRPr="002F3761">
        <w:rPr>
          <w:rFonts w:eastAsia="Calibri" w:cs="Times New Roman"/>
          <w:bCs/>
          <w:szCs w:val="24"/>
        </w:rPr>
        <w:t xml:space="preserve">A </w:t>
      </w:r>
      <w:r w:rsidRPr="002F3761">
        <w:rPr>
          <w:rFonts w:eastAsia="Calibri" w:cs="Times New Roman"/>
          <w:bCs/>
          <w:i/>
          <w:szCs w:val="24"/>
        </w:rPr>
        <w:t>második szintet</w:t>
      </w:r>
      <w:r w:rsidRPr="002F3761">
        <w:rPr>
          <w:rFonts w:eastAsia="Calibri" w:cs="Times New Roman"/>
          <w:bCs/>
          <w:szCs w:val="24"/>
        </w:rPr>
        <w:t xml:space="preserve"> már nem </w:t>
      </w:r>
      <w:r w:rsidR="00A51737" w:rsidRPr="002F3761">
        <w:rPr>
          <w:rFonts w:eastAsia="Calibri" w:cs="Times New Roman"/>
          <w:bCs/>
          <w:szCs w:val="24"/>
        </w:rPr>
        <w:t xml:space="preserve">csak </w:t>
      </w:r>
      <w:r w:rsidRPr="002F3761">
        <w:rPr>
          <w:rFonts w:eastAsia="Calibri" w:cs="Times New Roman"/>
          <w:bCs/>
          <w:szCs w:val="24"/>
        </w:rPr>
        <w:t>a hatályban lévő jogi szabályozás végrehajtásával kapcsolatos sérelmek jellemzik, hanem magukkal a jogszabályokkal összefüggő problémák</w:t>
      </w:r>
      <w:r w:rsidR="00A51737" w:rsidRPr="002F3761">
        <w:rPr>
          <w:rFonts w:eastAsia="Calibri" w:cs="Times New Roman"/>
          <w:bCs/>
          <w:szCs w:val="24"/>
        </w:rPr>
        <w:t xml:space="preserve"> is</w:t>
      </w:r>
      <w:r w:rsidRPr="002F3761">
        <w:rPr>
          <w:rFonts w:eastAsia="Calibri" w:cs="Times New Roman"/>
          <w:bCs/>
          <w:szCs w:val="24"/>
        </w:rPr>
        <w:t xml:space="preserve">. Mindemellett, </w:t>
      </w:r>
      <w:r w:rsidRPr="002F3761">
        <w:rPr>
          <w:rFonts w:eastAsia="Calibri" w:cs="Times New Roman"/>
          <w:bCs/>
          <w:i/>
          <w:szCs w:val="24"/>
        </w:rPr>
        <w:t xml:space="preserve">ezen a szinten még nem a </w:t>
      </w:r>
      <w:r w:rsidR="00D01DDB" w:rsidRPr="002F3761">
        <w:rPr>
          <w:rFonts w:eastAsia="Calibri" w:cs="Times New Roman"/>
          <w:bCs/>
          <w:i/>
          <w:szCs w:val="24"/>
        </w:rPr>
        <w:t xml:space="preserve">nem-önkéntes </w:t>
      </w:r>
      <w:r w:rsidRPr="002F3761">
        <w:rPr>
          <w:rFonts w:eastAsia="Calibri" w:cs="Times New Roman"/>
          <w:bCs/>
          <w:i/>
          <w:szCs w:val="24"/>
        </w:rPr>
        <w:t xml:space="preserve">intézeti elhelyezést és a </w:t>
      </w:r>
      <w:r w:rsidR="00D01DDB" w:rsidRPr="002F3761">
        <w:rPr>
          <w:rFonts w:eastAsia="Calibri" w:cs="Times New Roman"/>
          <w:bCs/>
          <w:i/>
          <w:szCs w:val="24"/>
        </w:rPr>
        <w:t>nem-önkéntes g</w:t>
      </w:r>
      <w:r w:rsidRPr="002F3761">
        <w:rPr>
          <w:rFonts w:eastAsia="Calibri" w:cs="Times New Roman"/>
          <w:bCs/>
          <w:i/>
          <w:szCs w:val="24"/>
        </w:rPr>
        <w:t>yógykezelést előíró vagy lehetővé tevő jogi szabályozás egésze a kérdéses, hanem annak egyes elemei.</w:t>
      </w:r>
      <w:r w:rsidRPr="002F3761">
        <w:rPr>
          <w:rFonts w:eastAsia="Calibri" w:cs="Times New Roman"/>
          <w:bCs/>
          <w:szCs w:val="24"/>
        </w:rPr>
        <w:t xml:space="preserve"> Ilyen</w:t>
      </w:r>
      <w:r w:rsidR="00A51737" w:rsidRPr="002F3761">
        <w:rPr>
          <w:rFonts w:eastAsia="Calibri" w:cs="Times New Roman"/>
          <w:bCs/>
          <w:szCs w:val="24"/>
        </w:rPr>
        <w:t xml:space="preserve"> – </w:t>
      </w:r>
      <w:r w:rsidR="005761B3" w:rsidRPr="002F3761">
        <w:rPr>
          <w:rFonts w:eastAsia="Calibri" w:cs="Times New Roman"/>
          <w:bCs/>
          <w:szCs w:val="24"/>
        </w:rPr>
        <w:t xml:space="preserve">a </w:t>
      </w:r>
      <w:r w:rsidR="00A51737" w:rsidRPr="002F3761">
        <w:rPr>
          <w:rFonts w:eastAsia="Calibri" w:cs="Times New Roman"/>
          <w:bCs/>
          <w:szCs w:val="24"/>
        </w:rPr>
        <w:t>jogi szabályozást érintő –</w:t>
      </w:r>
      <w:r w:rsidRPr="002F3761">
        <w:rPr>
          <w:rFonts w:eastAsia="Calibri" w:cs="Times New Roman"/>
          <w:bCs/>
          <w:szCs w:val="24"/>
        </w:rPr>
        <w:t xml:space="preserve"> elemek lehetnek például, hogy az időskorú betegek ellátására ne a pszichiátriai osztályok akut ellátása keretében kerüljön sor, hanem egyéb más ellátási formák keretében, vagy, hogy a pszichiátriai osztályok zárt részlegén kezelt beteg személy számára tájékoztatáson alapuló beleegyezésének hiányában beadott gyógyszer ne minősülhessen önkéntes gyógyszerbevételnek, még akkor sem, ha a beteg nem tiltakozik a gyógyszer bevétele ellen.</w:t>
      </w:r>
      <w:r w:rsidRPr="002F3761">
        <w:rPr>
          <w:rStyle w:val="Lbjegyzet-hivatkozs"/>
          <w:rFonts w:eastAsia="Calibri" w:cs="Times New Roman"/>
          <w:bCs/>
          <w:szCs w:val="24"/>
        </w:rPr>
        <w:footnoteReference w:id="63"/>
      </w:r>
      <w:r w:rsidR="0019089F" w:rsidRPr="002F3761">
        <w:rPr>
          <w:rFonts w:eastAsia="Calibri" w:cs="Times New Roman"/>
          <w:bCs/>
          <w:szCs w:val="24"/>
        </w:rPr>
        <w:t xml:space="preserve"> Ezen a szinten merülhet fel az a kérdés is, hogy indokolt-e különbséget tenni a beteg akarata ellenére történő pszichiátriai intézetbe történő utalása, elhelyezése (involuntary placement) és az akarata ellenére történő kezelése (involuntary treatment) között</w:t>
      </w:r>
      <w:r w:rsidR="00030D12" w:rsidRPr="002F3761">
        <w:rPr>
          <w:rFonts w:eastAsia="Calibri" w:cs="Times New Roman"/>
          <w:bCs/>
          <w:szCs w:val="24"/>
        </w:rPr>
        <w:t>.</w:t>
      </w:r>
      <w:r w:rsidR="00030D12" w:rsidRPr="002F3761">
        <w:rPr>
          <w:rStyle w:val="Lbjegyzet-hivatkozs"/>
          <w:rFonts w:eastAsia="Calibri" w:cs="Times New Roman"/>
          <w:bCs/>
          <w:szCs w:val="24"/>
        </w:rPr>
        <w:footnoteReference w:id="64"/>
      </w:r>
    </w:p>
    <w:p w14:paraId="41E878A2" w14:textId="77777777" w:rsidR="0092589D" w:rsidRPr="002F3761" w:rsidRDefault="0092589D" w:rsidP="002F3761">
      <w:pPr>
        <w:contextualSpacing/>
        <w:rPr>
          <w:rFonts w:eastAsia="Calibri" w:cs="Times New Roman"/>
          <w:bCs/>
          <w:szCs w:val="24"/>
        </w:rPr>
      </w:pPr>
    </w:p>
    <w:p w14:paraId="0E68AE5B" w14:textId="77777777" w:rsidR="00612250" w:rsidRPr="002F3761" w:rsidRDefault="0092589D" w:rsidP="002F3761">
      <w:pPr>
        <w:contextualSpacing/>
        <w:rPr>
          <w:rFonts w:eastAsia="Calibri" w:cs="Times New Roman"/>
          <w:bCs/>
          <w:szCs w:val="24"/>
        </w:rPr>
      </w:pPr>
      <w:r w:rsidRPr="002F3761">
        <w:rPr>
          <w:rFonts w:eastAsia="Calibri" w:cs="Times New Roman"/>
          <w:bCs/>
          <w:szCs w:val="24"/>
        </w:rPr>
        <w:lastRenderedPageBreak/>
        <w:t xml:space="preserve">A </w:t>
      </w:r>
      <w:r w:rsidRPr="002F3761">
        <w:rPr>
          <w:rFonts w:eastAsia="Calibri" w:cs="Times New Roman"/>
          <w:bCs/>
          <w:i/>
          <w:szCs w:val="24"/>
        </w:rPr>
        <w:t>harmadik szintet</w:t>
      </w:r>
      <w:r w:rsidRPr="002F3761">
        <w:rPr>
          <w:rFonts w:eastAsia="Calibri" w:cs="Times New Roman"/>
          <w:bCs/>
          <w:szCs w:val="24"/>
        </w:rPr>
        <w:t xml:space="preserve"> </w:t>
      </w:r>
      <w:r w:rsidRPr="00E93847">
        <w:rPr>
          <w:rFonts w:eastAsia="Calibri" w:cs="Times New Roman"/>
          <w:bCs/>
          <w:i/>
          <w:szCs w:val="24"/>
        </w:rPr>
        <w:t>a</w:t>
      </w:r>
      <w:r w:rsidR="00D01DDB" w:rsidRPr="00E93847">
        <w:rPr>
          <w:rFonts w:cs="Times New Roman"/>
          <w:i/>
          <w:szCs w:val="24"/>
        </w:rPr>
        <w:t xml:space="preserve"> </w:t>
      </w:r>
      <w:r w:rsidR="00E93847" w:rsidRPr="00E93847">
        <w:rPr>
          <w:rFonts w:cs="Times New Roman"/>
          <w:i/>
          <w:szCs w:val="24"/>
        </w:rPr>
        <w:t xml:space="preserve">vélt vagy valós károsodáson/fogyatékosságon alapuló </w:t>
      </w:r>
      <w:r w:rsidR="00D01DDB" w:rsidRPr="00E93847">
        <w:rPr>
          <w:rFonts w:eastAsia="Calibri" w:cs="Times New Roman"/>
          <w:bCs/>
          <w:i/>
          <w:szCs w:val="24"/>
        </w:rPr>
        <w:t>nem</w:t>
      </w:r>
      <w:r w:rsidR="00D01DDB" w:rsidRPr="002F3761">
        <w:rPr>
          <w:rFonts w:eastAsia="Calibri" w:cs="Times New Roman"/>
          <w:bCs/>
          <w:i/>
          <w:szCs w:val="24"/>
        </w:rPr>
        <w:t xml:space="preserve">-önkéntes </w:t>
      </w:r>
      <w:r w:rsidRPr="002F3761">
        <w:rPr>
          <w:rFonts w:eastAsia="Calibri" w:cs="Times New Roman"/>
          <w:bCs/>
          <w:i/>
          <w:szCs w:val="24"/>
        </w:rPr>
        <w:t xml:space="preserve">intézeti elhelyezésre és a </w:t>
      </w:r>
      <w:r w:rsidR="00D01DDB" w:rsidRPr="002F3761">
        <w:rPr>
          <w:rFonts w:eastAsia="Calibri" w:cs="Times New Roman"/>
          <w:bCs/>
          <w:i/>
          <w:szCs w:val="24"/>
        </w:rPr>
        <w:t xml:space="preserve">nem-önkéntes </w:t>
      </w:r>
      <w:r w:rsidRPr="002F3761">
        <w:rPr>
          <w:rFonts w:eastAsia="Calibri" w:cs="Times New Roman"/>
          <w:bCs/>
          <w:i/>
          <w:szCs w:val="24"/>
        </w:rPr>
        <w:t>gyógykezelésre irányuló jogi szabályozás egészének elutasítása jellemz</w:t>
      </w:r>
      <w:r w:rsidR="00612250" w:rsidRPr="002F3761">
        <w:rPr>
          <w:rFonts w:eastAsia="Calibri" w:cs="Times New Roman"/>
          <w:bCs/>
          <w:i/>
          <w:szCs w:val="24"/>
        </w:rPr>
        <w:t>i</w:t>
      </w:r>
      <w:r w:rsidR="00612250" w:rsidRPr="002F3761">
        <w:rPr>
          <w:rFonts w:eastAsia="Calibri" w:cs="Times New Roman"/>
          <w:bCs/>
          <w:szCs w:val="24"/>
        </w:rPr>
        <w:t xml:space="preserve"> azzal, hogy olyan alternatív megoldásokat kell kidolgozni, melyek az emberi jogi paradigma talaján állnak.</w:t>
      </w:r>
    </w:p>
    <w:p w14:paraId="60F581D1" w14:textId="77777777" w:rsidR="00612250" w:rsidRPr="002F3761" w:rsidRDefault="00612250" w:rsidP="002F3761">
      <w:pPr>
        <w:contextualSpacing/>
        <w:rPr>
          <w:rFonts w:eastAsia="Calibri" w:cs="Times New Roman"/>
          <w:bCs/>
          <w:szCs w:val="24"/>
        </w:rPr>
      </w:pPr>
    </w:p>
    <w:p w14:paraId="7EB0F45B" w14:textId="77777777" w:rsidR="00A220DC" w:rsidRDefault="0092589D" w:rsidP="002F3761">
      <w:pPr>
        <w:contextualSpacing/>
        <w:rPr>
          <w:rFonts w:eastAsia="Calibri" w:cs="Times New Roman"/>
          <w:bCs/>
          <w:szCs w:val="24"/>
        </w:rPr>
      </w:pPr>
      <w:r w:rsidRPr="002F3761">
        <w:rPr>
          <w:rFonts w:eastAsia="Calibri" w:cs="Times New Roman"/>
          <w:bCs/>
          <w:szCs w:val="24"/>
        </w:rPr>
        <w:t xml:space="preserve">Habár a </w:t>
      </w:r>
      <w:r w:rsidR="00612250" w:rsidRPr="002F3761">
        <w:rPr>
          <w:rFonts w:eastAsia="Calibri" w:cs="Times New Roman"/>
          <w:bCs/>
          <w:szCs w:val="24"/>
        </w:rPr>
        <w:t>nem-önkéntes</w:t>
      </w:r>
      <w:r w:rsidRPr="002F3761">
        <w:rPr>
          <w:rFonts w:eastAsia="Calibri" w:cs="Times New Roman"/>
          <w:bCs/>
          <w:szCs w:val="24"/>
        </w:rPr>
        <w:t xml:space="preserve"> intézeti elhelyezéssel és a </w:t>
      </w:r>
      <w:r w:rsidR="00612250" w:rsidRPr="002F3761">
        <w:rPr>
          <w:rFonts w:eastAsia="Calibri" w:cs="Times New Roman"/>
          <w:bCs/>
          <w:szCs w:val="24"/>
        </w:rPr>
        <w:t>nem-önkéntes</w:t>
      </w:r>
      <w:r w:rsidRPr="002F3761">
        <w:rPr>
          <w:rFonts w:eastAsia="Calibri" w:cs="Times New Roman"/>
          <w:bCs/>
          <w:szCs w:val="24"/>
        </w:rPr>
        <w:t xml:space="preserve"> gyógykezeléssel összefüggő emberi jogi problémákat mindhárom szinten elemezni lehetne, e tanulmány a harmadik s</w:t>
      </w:r>
      <w:r w:rsidR="00030D12" w:rsidRPr="002F3761">
        <w:rPr>
          <w:rFonts w:eastAsia="Calibri" w:cs="Times New Roman"/>
          <w:bCs/>
          <w:szCs w:val="24"/>
        </w:rPr>
        <w:t xml:space="preserve">zint </w:t>
      </w:r>
      <w:r w:rsidR="001955A2" w:rsidRPr="002F3761">
        <w:rPr>
          <w:rFonts w:eastAsia="Calibri" w:cs="Times New Roman"/>
          <w:bCs/>
          <w:szCs w:val="24"/>
        </w:rPr>
        <w:t>elemzését</w:t>
      </w:r>
      <w:r w:rsidR="00030D12" w:rsidRPr="002F3761">
        <w:rPr>
          <w:rFonts w:eastAsia="Calibri" w:cs="Times New Roman"/>
          <w:bCs/>
          <w:szCs w:val="24"/>
        </w:rPr>
        <w:t xml:space="preserve"> tűzi ki céljául.</w:t>
      </w:r>
    </w:p>
    <w:p w14:paraId="0E69055A" w14:textId="77777777" w:rsidR="00A220DC" w:rsidRDefault="00A220DC" w:rsidP="002F3761">
      <w:pPr>
        <w:contextualSpacing/>
        <w:rPr>
          <w:rFonts w:eastAsia="Calibri" w:cs="Times New Roman"/>
          <w:bCs/>
          <w:szCs w:val="24"/>
        </w:rPr>
      </w:pPr>
    </w:p>
    <w:p w14:paraId="6CA0125A" w14:textId="0BB0C380" w:rsidR="00A220DC" w:rsidRPr="000B427C" w:rsidRDefault="005C6999" w:rsidP="000B427C">
      <w:pPr>
        <w:pStyle w:val="Cmsor2"/>
        <w:rPr>
          <w:rFonts w:ascii="Times New Roman" w:hAnsi="Times New Roman" w:cs="Times New Roman"/>
          <w:color w:val="auto"/>
        </w:rPr>
      </w:pPr>
      <w:bookmarkStart w:id="15" w:name="_Toc451515105"/>
      <w:r w:rsidRPr="000B427C">
        <w:rPr>
          <w:rFonts w:ascii="Times New Roman" w:hAnsi="Times New Roman" w:cs="Times New Roman"/>
          <w:color w:val="auto"/>
        </w:rPr>
        <w:t>4</w:t>
      </w:r>
      <w:r w:rsidR="00A220DC" w:rsidRPr="000B427C">
        <w:rPr>
          <w:rFonts w:ascii="Times New Roman" w:hAnsi="Times New Roman" w:cs="Times New Roman"/>
          <w:color w:val="auto"/>
        </w:rPr>
        <w:t xml:space="preserve">.1. </w:t>
      </w:r>
      <w:r w:rsidR="00873BE2" w:rsidRPr="000B427C">
        <w:rPr>
          <w:rFonts w:ascii="Times New Roman" w:hAnsi="Times New Roman" w:cs="Times New Roman"/>
          <w:color w:val="auto"/>
        </w:rPr>
        <w:t>A</w:t>
      </w:r>
      <w:r w:rsidR="00A220DC" w:rsidRPr="000B427C">
        <w:rPr>
          <w:rFonts w:ascii="Times New Roman" w:hAnsi="Times New Roman" w:cs="Times New Roman"/>
          <w:color w:val="auto"/>
        </w:rPr>
        <w:t xml:space="preserve">z ENSZ </w:t>
      </w:r>
      <w:r w:rsidR="00873BE2" w:rsidRPr="000B427C">
        <w:rPr>
          <w:rFonts w:ascii="Times New Roman" w:hAnsi="Times New Roman" w:cs="Times New Roman"/>
          <w:color w:val="auto"/>
        </w:rPr>
        <w:t>bizottságai és különleges jelentéstevői</w:t>
      </w:r>
      <w:bookmarkEnd w:id="15"/>
    </w:p>
    <w:p w14:paraId="6DFF0CEF" w14:textId="77777777" w:rsidR="00A220DC" w:rsidRDefault="00A220DC" w:rsidP="002F3761">
      <w:pPr>
        <w:contextualSpacing/>
        <w:rPr>
          <w:rFonts w:eastAsia="Calibri" w:cs="Times New Roman"/>
          <w:bCs/>
          <w:szCs w:val="24"/>
        </w:rPr>
      </w:pPr>
    </w:p>
    <w:p w14:paraId="458227EF" w14:textId="5869FF3D" w:rsidR="00E410C5" w:rsidRPr="002F3761" w:rsidRDefault="00A220DC" w:rsidP="002F3761">
      <w:pPr>
        <w:contextualSpacing/>
        <w:rPr>
          <w:rFonts w:eastAsia="Calibri" w:cs="Times New Roman"/>
          <w:bCs/>
          <w:szCs w:val="24"/>
        </w:rPr>
      </w:pPr>
      <w:r>
        <w:rPr>
          <w:rFonts w:eastAsia="Calibri" w:cs="Times New Roman"/>
          <w:bCs/>
          <w:szCs w:val="24"/>
        </w:rPr>
        <w:t>A</w:t>
      </w:r>
      <w:r w:rsidRPr="00A220DC">
        <w:rPr>
          <w:rFonts w:eastAsia="Calibri" w:cs="Times New Roman"/>
          <w:bCs/>
          <w:szCs w:val="24"/>
        </w:rPr>
        <w:t xml:space="preserve"> nem-önkéntes intézeti elhelyezés és a nem-önkéntes gyógykezelés</w:t>
      </w:r>
      <w:r>
        <w:rPr>
          <w:rFonts w:eastAsia="Calibri" w:cs="Times New Roman"/>
          <w:bCs/>
          <w:szCs w:val="24"/>
        </w:rPr>
        <w:t xml:space="preserve"> kérdésével foglalkozó, az ENSZ szintjén történő vizsgálódásainknak </w:t>
      </w:r>
      <w:r w:rsidR="0092589D" w:rsidRPr="002F3761">
        <w:rPr>
          <w:rFonts w:eastAsia="Calibri" w:cs="Times New Roman"/>
          <w:bCs/>
          <w:szCs w:val="24"/>
        </w:rPr>
        <w:t>a Fogyatékossággal élő személye</w:t>
      </w:r>
      <w:r w:rsidR="00E410C5" w:rsidRPr="002F3761">
        <w:rPr>
          <w:rFonts w:eastAsia="Calibri" w:cs="Times New Roman"/>
          <w:bCs/>
          <w:szCs w:val="24"/>
        </w:rPr>
        <w:t>k jogairól szóló ENSZ Egyezmény</w:t>
      </w:r>
      <w:r>
        <w:rPr>
          <w:rFonts w:eastAsia="Calibri" w:cs="Times New Roman"/>
          <w:bCs/>
          <w:szCs w:val="24"/>
        </w:rPr>
        <w:t xml:space="preserve"> a kiindulópontja</w:t>
      </w:r>
      <w:r w:rsidR="00E410C5" w:rsidRPr="002F3761">
        <w:rPr>
          <w:rFonts w:eastAsia="Calibri" w:cs="Times New Roman"/>
          <w:bCs/>
          <w:szCs w:val="24"/>
        </w:rPr>
        <w:t>, melyet Magyarország a 2007. évi XCII. törvény elfogadásával hirdetett ki.</w:t>
      </w:r>
      <w:r w:rsidR="00E410C5" w:rsidRPr="002F3761">
        <w:rPr>
          <w:rStyle w:val="Lbjegyzet-hivatkozs"/>
          <w:rFonts w:eastAsia="Calibri" w:cs="Times New Roman"/>
          <w:bCs/>
          <w:szCs w:val="24"/>
        </w:rPr>
        <w:footnoteReference w:id="65"/>
      </w:r>
      <w:r w:rsidR="00E410C5" w:rsidRPr="002F3761">
        <w:rPr>
          <w:rFonts w:eastAsia="Calibri" w:cs="Times New Roman"/>
          <w:bCs/>
          <w:szCs w:val="24"/>
        </w:rPr>
        <w:t xml:space="preserve"> </w:t>
      </w:r>
      <w:r w:rsidR="007451C4" w:rsidRPr="002F3761">
        <w:rPr>
          <w:rFonts w:eastAsia="Calibri" w:cs="Times New Roman"/>
          <w:bCs/>
          <w:szCs w:val="24"/>
        </w:rPr>
        <w:t xml:space="preserve">A CRPD 14. </w:t>
      </w:r>
      <w:r w:rsidR="00E410C5" w:rsidRPr="002F3761">
        <w:rPr>
          <w:rFonts w:eastAsia="Calibri" w:cs="Times New Roman"/>
          <w:bCs/>
          <w:szCs w:val="24"/>
        </w:rPr>
        <w:t>cikk 1. bekezdése előírja, hogy</w:t>
      </w:r>
    </w:p>
    <w:p w14:paraId="2D42E314" w14:textId="77777777" w:rsidR="00E410C5" w:rsidRPr="002F3761" w:rsidRDefault="00E410C5" w:rsidP="002F3761">
      <w:pPr>
        <w:contextualSpacing/>
        <w:rPr>
          <w:rFonts w:eastAsia="Calibri" w:cs="Times New Roman"/>
          <w:bCs/>
          <w:szCs w:val="24"/>
        </w:rPr>
      </w:pPr>
    </w:p>
    <w:p w14:paraId="7A0E3547" w14:textId="77777777" w:rsidR="007451C4" w:rsidRPr="002F3761" w:rsidRDefault="007451C4" w:rsidP="002F3761">
      <w:pPr>
        <w:ind w:left="708"/>
        <w:contextualSpacing/>
        <w:rPr>
          <w:rFonts w:eastAsia="Calibri" w:cs="Times New Roman"/>
          <w:bCs/>
          <w:szCs w:val="24"/>
        </w:rPr>
      </w:pPr>
      <w:r w:rsidRPr="002F3761">
        <w:rPr>
          <w:rFonts w:eastAsia="Calibri" w:cs="Times New Roman"/>
          <w:bCs/>
          <w:szCs w:val="24"/>
        </w:rPr>
        <w:t>„[a] részes államok biztosítják, hogy a fogyatékossággal élő személyek, másokkal azonos alapon</w:t>
      </w:r>
    </w:p>
    <w:p w14:paraId="0E1EDBC8" w14:textId="77777777" w:rsidR="007451C4" w:rsidRPr="002F3761" w:rsidRDefault="007451C4" w:rsidP="002F3761">
      <w:pPr>
        <w:ind w:left="708"/>
        <w:contextualSpacing/>
        <w:rPr>
          <w:rFonts w:eastAsia="Calibri" w:cs="Times New Roman"/>
          <w:bCs/>
          <w:szCs w:val="24"/>
        </w:rPr>
      </w:pPr>
      <w:r w:rsidRPr="002F3761">
        <w:rPr>
          <w:rFonts w:eastAsia="Calibri" w:cs="Times New Roman"/>
          <w:bCs/>
          <w:szCs w:val="24"/>
        </w:rPr>
        <w:t>a) élvezhetik a személyi szabadsághoz és biztonsághoz való jogot;</w:t>
      </w:r>
    </w:p>
    <w:p w14:paraId="50E24C37" w14:textId="77777777" w:rsidR="007451C4" w:rsidRPr="002F3761" w:rsidRDefault="007451C4" w:rsidP="002F3761">
      <w:pPr>
        <w:ind w:left="708"/>
        <w:contextualSpacing/>
        <w:rPr>
          <w:rFonts w:eastAsia="Calibri" w:cs="Times New Roman"/>
          <w:bCs/>
          <w:szCs w:val="24"/>
        </w:rPr>
      </w:pPr>
      <w:r w:rsidRPr="002F3761">
        <w:rPr>
          <w:rFonts w:eastAsia="Calibri" w:cs="Times New Roman"/>
          <w:bCs/>
          <w:szCs w:val="24"/>
        </w:rPr>
        <w:t xml:space="preserve">b) jogellenesen vagy önkényesen szabadságuktól nem foszthatók meg, továbbá a szabadságtól való bármilyen megfosztás a jogszabályokkal összhangban történhet, és hogy </w:t>
      </w:r>
      <w:r w:rsidRPr="002F3761">
        <w:rPr>
          <w:rFonts w:eastAsia="Calibri" w:cs="Times New Roman"/>
          <w:bCs/>
          <w:i/>
          <w:szCs w:val="24"/>
        </w:rPr>
        <w:t>a fogyatékosság megléte semmilyen esetben nem indokolhatja a szabadságtól való megfosztást.</w:t>
      </w:r>
      <w:r w:rsidRPr="002F3761">
        <w:rPr>
          <w:rFonts w:eastAsia="Calibri" w:cs="Times New Roman"/>
          <w:bCs/>
          <w:szCs w:val="24"/>
        </w:rPr>
        <w:t>”</w:t>
      </w:r>
      <w:r w:rsidR="00E410C5" w:rsidRPr="002F3761">
        <w:rPr>
          <w:rStyle w:val="Lbjegyzet-hivatkozs"/>
          <w:rFonts w:eastAsia="Calibri" w:cs="Times New Roman"/>
          <w:bCs/>
          <w:szCs w:val="24"/>
        </w:rPr>
        <w:footnoteReference w:id="66"/>
      </w:r>
    </w:p>
    <w:p w14:paraId="1492BB8A" w14:textId="77777777" w:rsidR="00E410C5" w:rsidRPr="002F3761" w:rsidRDefault="00E410C5" w:rsidP="002F3761">
      <w:pPr>
        <w:contextualSpacing/>
        <w:rPr>
          <w:rFonts w:eastAsia="Calibri" w:cs="Times New Roman"/>
          <w:bCs/>
          <w:szCs w:val="24"/>
        </w:rPr>
      </w:pPr>
    </w:p>
    <w:p w14:paraId="5C3163A4" w14:textId="77777777" w:rsidR="00E410C5" w:rsidRPr="002F3761" w:rsidRDefault="007451C4" w:rsidP="002F3761">
      <w:pPr>
        <w:contextualSpacing/>
        <w:rPr>
          <w:rFonts w:eastAsia="Calibri" w:cs="Times New Roman"/>
          <w:bCs/>
          <w:szCs w:val="24"/>
        </w:rPr>
      </w:pPr>
      <w:r w:rsidRPr="002F3761">
        <w:rPr>
          <w:rFonts w:eastAsia="Calibri" w:cs="Times New Roman"/>
          <w:bCs/>
          <w:szCs w:val="24"/>
        </w:rPr>
        <w:t xml:space="preserve">A CRPD 25. cikk </w:t>
      </w:r>
      <w:r w:rsidRPr="002F3761">
        <w:rPr>
          <w:rFonts w:eastAsia="Calibri" w:cs="Times New Roman"/>
          <w:bCs/>
          <w:i/>
          <w:szCs w:val="24"/>
        </w:rPr>
        <w:t>d)</w:t>
      </w:r>
      <w:r w:rsidRPr="002F3761">
        <w:rPr>
          <w:rFonts w:eastAsia="Calibri" w:cs="Times New Roman"/>
          <w:bCs/>
          <w:szCs w:val="24"/>
        </w:rPr>
        <w:t xml:space="preserve"> pon</w:t>
      </w:r>
      <w:r w:rsidR="00E410C5" w:rsidRPr="002F3761">
        <w:rPr>
          <w:rFonts w:eastAsia="Calibri" w:cs="Times New Roman"/>
          <w:bCs/>
          <w:szCs w:val="24"/>
        </w:rPr>
        <w:t>tja értelmében a részes államok</w:t>
      </w:r>
    </w:p>
    <w:p w14:paraId="6DC8617E" w14:textId="77777777" w:rsidR="00E410C5" w:rsidRPr="002F3761" w:rsidRDefault="00E410C5" w:rsidP="002F3761">
      <w:pPr>
        <w:contextualSpacing/>
        <w:rPr>
          <w:rFonts w:eastAsia="Calibri" w:cs="Times New Roman"/>
          <w:bCs/>
          <w:szCs w:val="24"/>
        </w:rPr>
      </w:pPr>
    </w:p>
    <w:p w14:paraId="3B511396" w14:textId="77777777" w:rsidR="007451C4" w:rsidRPr="002F3761" w:rsidRDefault="007451C4" w:rsidP="002F3761">
      <w:pPr>
        <w:ind w:left="708"/>
        <w:contextualSpacing/>
        <w:rPr>
          <w:rFonts w:eastAsia="Calibri" w:cs="Times New Roman"/>
          <w:bCs/>
          <w:szCs w:val="24"/>
        </w:rPr>
      </w:pPr>
      <w:r w:rsidRPr="002F3761">
        <w:rPr>
          <w:rFonts w:eastAsia="Calibri" w:cs="Times New Roman"/>
          <w:bCs/>
          <w:szCs w:val="24"/>
        </w:rPr>
        <w:t xml:space="preserve">„kötelezik az egészségügyi szakembereket, hogy a fogyatékossággal élő személyek számára ugyanolyan színvonalú ellátást biztosítsanak, mint mások számára, beleértve </w:t>
      </w:r>
      <w:r w:rsidRPr="002F3761">
        <w:rPr>
          <w:rFonts w:eastAsia="Calibri" w:cs="Times New Roman"/>
          <w:bCs/>
          <w:i/>
          <w:szCs w:val="24"/>
        </w:rPr>
        <w:t>a szabad és tájékoztatáson alapuló hozzájárulás alapján nyújtott ellátást</w:t>
      </w:r>
      <w:r w:rsidRPr="002F3761">
        <w:rPr>
          <w:rFonts w:eastAsia="Calibri" w:cs="Times New Roman"/>
          <w:bCs/>
          <w:szCs w:val="24"/>
        </w:rPr>
        <w:t>…”</w:t>
      </w:r>
      <w:r w:rsidR="00E410C5" w:rsidRPr="002F3761">
        <w:rPr>
          <w:rStyle w:val="Lbjegyzet-hivatkozs"/>
          <w:rFonts w:eastAsia="Calibri" w:cs="Times New Roman"/>
          <w:bCs/>
          <w:szCs w:val="24"/>
        </w:rPr>
        <w:footnoteReference w:id="67"/>
      </w:r>
    </w:p>
    <w:p w14:paraId="3069423A" w14:textId="77777777" w:rsidR="00E410C5" w:rsidRPr="002F3761" w:rsidRDefault="00E410C5" w:rsidP="002F3761">
      <w:pPr>
        <w:contextualSpacing/>
        <w:rPr>
          <w:rFonts w:eastAsia="Calibri" w:cs="Times New Roman"/>
          <w:bCs/>
          <w:szCs w:val="24"/>
        </w:rPr>
      </w:pPr>
    </w:p>
    <w:p w14:paraId="511E71A7" w14:textId="77777777" w:rsidR="007451C4" w:rsidRPr="002F3761" w:rsidRDefault="007451C4" w:rsidP="002F3761">
      <w:pPr>
        <w:contextualSpacing/>
        <w:rPr>
          <w:rFonts w:eastAsia="Calibri" w:cs="Times New Roman"/>
          <w:bCs/>
          <w:szCs w:val="24"/>
        </w:rPr>
      </w:pPr>
      <w:r w:rsidRPr="002F3761">
        <w:rPr>
          <w:rFonts w:eastAsia="Calibri" w:cs="Times New Roman"/>
          <w:bCs/>
          <w:szCs w:val="24"/>
        </w:rPr>
        <w:t>M</w:t>
      </w:r>
      <w:r w:rsidR="00E410C5" w:rsidRPr="002F3761">
        <w:rPr>
          <w:rFonts w:eastAsia="Calibri" w:cs="Times New Roman"/>
          <w:bCs/>
          <w:szCs w:val="24"/>
        </w:rPr>
        <w:t>indezek alapján megállapítható, hogy m</w:t>
      </w:r>
      <w:r w:rsidRPr="002F3761">
        <w:rPr>
          <w:rFonts w:eastAsia="Calibri" w:cs="Times New Roman"/>
          <w:bCs/>
          <w:szCs w:val="24"/>
        </w:rPr>
        <w:t xml:space="preserve">íg a CRPD 14. cikke a fogyatékossággal élő személy akarata ellenére történő pszichiátriai intézetben történő </w:t>
      </w:r>
      <w:r w:rsidRPr="002F3761">
        <w:rPr>
          <w:rFonts w:eastAsia="Calibri" w:cs="Times New Roman"/>
          <w:bCs/>
          <w:i/>
          <w:szCs w:val="24"/>
        </w:rPr>
        <w:t>elhelyezését</w:t>
      </w:r>
      <w:r w:rsidRPr="002F3761">
        <w:rPr>
          <w:rFonts w:eastAsia="Calibri" w:cs="Times New Roman"/>
          <w:bCs/>
          <w:szCs w:val="24"/>
        </w:rPr>
        <w:t xml:space="preserve"> (involuntary placement), addig a 25. cikk a fogyatékossággal élő személy akarata ellenére történő </w:t>
      </w:r>
      <w:r w:rsidRPr="002F3761">
        <w:rPr>
          <w:rFonts w:eastAsia="Calibri" w:cs="Times New Roman"/>
          <w:bCs/>
          <w:i/>
          <w:szCs w:val="24"/>
        </w:rPr>
        <w:t>kezelését</w:t>
      </w:r>
      <w:r w:rsidRPr="002F3761">
        <w:rPr>
          <w:rFonts w:eastAsia="Calibri" w:cs="Times New Roman"/>
          <w:bCs/>
          <w:szCs w:val="24"/>
        </w:rPr>
        <w:t xml:space="preserve"> (involuntary treatment) tiltja.</w:t>
      </w:r>
      <w:r w:rsidR="00037DD4" w:rsidRPr="002F3761">
        <w:rPr>
          <w:rStyle w:val="Lbjegyzet-hivatkozs"/>
          <w:rFonts w:eastAsia="Calibri" w:cs="Times New Roman"/>
          <w:bCs/>
          <w:szCs w:val="24"/>
        </w:rPr>
        <w:footnoteReference w:id="68"/>
      </w:r>
      <w:r w:rsidR="0016584D" w:rsidRPr="002F3761">
        <w:rPr>
          <w:rFonts w:eastAsia="Calibri" w:cs="Times New Roman"/>
          <w:bCs/>
          <w:szCs w:val="24"/>
        </w:rPr>
        <w:t xml:space="preserve"> Mindkét cikk sérelme a CRPD 12. cikkének sérelmét is jelenti, hiszen az érintett személy</w:t>
      </w:r>
      <w:r w:rsidR="00945807" w:rsidRPr="002F3761">
        <w:rPr>
          <w:rFonts w:eastAsia="Calibri" w:cs="Times New Roman"/>
          <w:bCs/>
          <w:szCs w:val="24"/>
        </w:rPr>
        <w:t>,</w:t>
      </w:r>
      <w:r w:rsidR="0016584D" w:rsidRPr="002F3761">
        <w:rPr>
          <w:rFonts w:eastAsia="Calibri" w:cs="Times New Roman"/>
          <w:bCs/>
          <w:szCs w:val="24"/>
        </w:rPr>
        <w:t xml:space="preserve"> </w:t>
      </w:r>
      <w:r w:rsidR="00945807" w:rsidRPr="002F3761">
        <w:rPr>
          <w:rFonts w:eastAsia="Calibri" w:cs="Times New Roman"/>
          <w:bCs/>
          <w:szCs w:val="24"/>
        </w:rPr>
        <w:t xml:space="preserve">a másokkal egyenlő alapú </w:t>
      </w:r>
      <w:r w:rsidR="0016584D" w:rsidRPr="002F3761">
        <w:rPr>
          <w:rFonts w:eastAsia="Calibri" w:cs="Times New Roman"/>
          <w:bCs/>
          <w:szCs w:val="24"/>
        </w:rPr>
        <w:t>cselekvőképesség</w:t>
      </w:r>
      <w:r w:rsidR="00945807" w:rsidRPr="002F3761">
        <w:rPr>
          <w:rFonts w:eastAsia="Calibri" w:cs="Times New Roman"/>
          <w:bCs/>
          <w:szCs w:val="24"/>
        </w:rPr>
        <w:t>hez való jogát</w:t>
      </w:r>
      <w:r w:rsidR="0016584D" w:rsidRPr="002F3761">
        <w:rPr>
          <w:rFonts w:eastAsia="Calibri" w:cs="Times New Roman"/>
          <w:bCs/>
          <w:szCs w:val="24"/>
        </w:rPr>
        <w:t xml:space="preserve"> </w:t>
      </w:r>
      <w:r w:rsidR="00945807" w:rsidRPr="002F3761">
        <w:rPr>
          <w:rFonts w:eastAsia="Calibri" w:cs="Times New Roman"/>
          <w:bCs/>
          <w:szCs w:val="24"/>
        </w:rPr>
        <w:t>egyik esetben sem gyakorolhatja szabadon.</w:t>
      </w:r>
    </w:p>
    <w:p w14:paraId="17FAF18E" w14:textId="77777777" w:rsidR="00945807" w:rsidRPr="002F3761" w:rsidRDefault="00945807" w:rsidP="002F3761">
      <w:pPr>
        <w:contextualSpacing/>
        <w:rPr>
          <w:rFonts w:cs="Times New Roman"/>
          <w:szCs w:val="24"/>
        </w:rPr>
      </w:pPr>
    </w:p>
    <w:p w14:paraId="11119EEB" w14:textId="77777777" w:rsidR="00E410C5" w:rsidRPr="002F3761" w:rsidRDefault="007451C4" w:rsidP="002F3761">
      <w:pPr>
        <w:contextualSpacing/>
        <w:rPr>
          <w:rFonts w:cs="Times New Roman"/>
          <w:szCs w:val="24"/>
        </w:rPr>
      </w:pPr>
      <w:r w:rsidRPr="002F3761">
        <w:rPr>
          <w:rFonts w:cs="Times New Roman"/>
          <w:szCs w:val="24"/>
        </w:rPr>
        <w:t>Manfred Nowak, az ENSZ kínzás elleni küzdelemmel foglalkozó különleges jelentéstevője (2004 – 2010) a 2008. évi A/63/175. számú időközi jelentésé</w:t>
      </w:r>
      <w:r w:rsidR="00E410C5" w:rsidRPr="002F3761">
        <w:rPr>
          <w:rFonts w:cs="Times New Roman"/>
          <w:szCs w:val="24"/>
        </w:rPr>
        <w:t>ben</w:t>
      </w:r>
      <w:r w:rsidR="00755BBE" w:rsidRPr="002F3761">
        <w:rPr>
          <w:rStyle w:val="Lbjegyzet-hivatkozs"/>
          <w:rFonts w:cs="Times New Roman"/>
          <w:szCs w:val="24"/>
        </w:rPr>
        <w:footnoteReference w:id="69"/>
      </w:r>
      <w:r w:rsidR="00E410C5" w:rsidRPr="002F3761">
        <w:rPr>
          <w:rFonts w:cs="Times New Roman"/>
          <w:szCs w:val="24"/>
        </w:rPr>
        <w:t xml:space="preserve"> </w:t>
      </w:r>
      <w:r w:rsidR="00755BBE" w:rsidRPr="002F3761">
        <w:rPr>
          <w:rFonts w:cs="Times New Roman"/>
          <w:szCs w:val="24"/>
        </w:rPr>
        <w:t>hangsúlyozta</w:t>
      </w:r>
      <w:r w:rsidR="00E410C5" w:rsidRPr="002F3761">
        <w:rPr>
          <w:rFonts w:cs="Times New Roman"/>
          <w:szCs w:val="24"/>
        </w:rPr>
        <w:t>:</w:t>
      </w:r>
    </w:p>
    <w:p w14:paraId="6C0A580A" w14:textId="77777777" w:rsidR="00755BBE" w:rsidRPr="002F3761" w:rsidRDefault="00755BBE" w:rsidP="002F3761">
      <w:pPr>
        <w:contextualSpacing/>
        <w:rPr>
          <w:rFonts w:cs="Times New Roman"/>
          <w:szCs w:val="24"/>
        </w:rPr>
      </w:pPr>
    </w:p>
    <w:p w14:paraId="63E05A16" w14:textId="77777777" w:rsidR="00E410C5" w:rsidRPr="002F3761" w:rsidRDefault="007451C4" w:rsidP="002F3761">
      <w:pPr>
        <w:ind w:left="708"/>
        <w:contextualSpacing/>
        <w:rPr>
          <w:rFonts w:cs="Times New Roman"/>
          <w:szCs w:val="24"/>
        </w:rPr>
      </w:pPr>
      <w:r w:rsidRPr="002F3761">
        <w:rPr>
          <w:rFonts w:cs="Times New Roman"/>
          <w:szCs w:val="24"/>
        </w:rPr>
        <w:t xml:space="preserve">„Számos állam lehetővé teszi, hogy pszichoszociális és értelmi fogyatékossággal élő személyeket jogszerűen vagy jogalap nélkül tartsanak fogva intézményi keretek között, anélkül, hogy ebbe az érintettek tájékozott beleegyezésüket adták volna. A fogva tartás alapja a diagnosztizált értelmi vagy pszichoszociális fogyatékosság, továbbá gyakran valamely járulékos feltétel, például az ’ön- és közveszélyesség’ vagy a ’kezelés szükségessége’. A különleges jelentéstevő emlékeztet arra, hogy a CRPD 14. cikke tiltja a szabadságtól való jogellenes vagy önkényes megfosztást, illetve azt, hogy a fogyatékosság </w:t>
      </w:r>
      <w:r w:rsidR="00755BBE" w:rsidRPr="002F3761">
        <w:rPr>
          <w:rFonts w:cs="Times New Roman"/>
          <w:szCs w:val="24"/>
        </w:rPr>
        <w:t xml:space="preserve">a </w:t>
      </w:r>
      <w:r w:rsidRPr="002F3761">
        <w:rPr>
          <w:rFonts w:cs="Times New Roman"/>
          <w:szCs w:val="24"/>
        </w:rPr>
        <w:t>szabadságtól való megfosztás indokául szolgáljon.”</w:t>
      </w:r>
      <w:r w:rsidRPr="002F3761">
        <w:rPr>
          <w:rFonts w:cs="Times New Roman"/>
          <w:szCs w:val="24"/>
          <w:vertAlign w:val="superscript"/>
        </w:rPr>
        <w:footnoteReference w:id="70"/>
      </w:r>
    </w:p>
    <w:p w14:paraId="30ECF1E8" w14:textId="77777777" w:rsidR="00755BBE" w:rsidRDefault="00755BBE" w:rsidP="002F3761">
      <w:pPr>
        <w:contextualSpacing/>
        <w:rPr>
          <w:rFonts w:cs="Times New Roman"/>
          <w:szCs w:val="24"/>
        </w:rPr>
      </w:pPr>
    </w:p>
    <w:p w14:paraId="78F36469" w14:textId="3DAE3247" w:rsidR="00D72E9F" w:rsidRDefault="00D72E9F" w:rsidP="002F3761">
      <w:pPr>
        <w:contextualSpacing/>
        <w:rPr>
          <w:rFonts w:cs="Times New Roman"/>
          <w:szCs w:val="24"/>
        </w:rPr>
      </w:pPr>
      <w:r w:rsidRPr="00D72E9F">
        <w:rPr>
          <w:rFonts w:cs="Times New Roman"/>
          <w:szCs w:val="24"/>
        </w:rPr>
        <w:t xml:space="preserve">Hasonlóan foglalt állást </w:t>
      </w:r>
      <w:proofErr w:type="spellStart"/>
      <w:r w:rsidRPr="00D72E9F">
        <w:rPr>
          <w:rFonts w:cs="Times New Roman"/>
          <w:szCs w:val="24"/>
        </w:rPr>
        <w:t>Manfred</w:t>
      </w:r>
      <w:proofErr w:type="spellEnd"/>
      <w:r w:rsidRPr="00D72E9F">
        <w:rPr>
          <w:rFonts w:cs="Times New Roman"/>
          <w:szCs w:val="24"/>
        </w:rPr>
        <w:t xml:space="preserve"> </w:t>
      </w:r>
      <w:proofErr w:type="spellStart"/>
      <w:r w:rsidRPr="00D72E9F">
        <w:rPr>
          <w:rFonts w:cs="Times New Roman"/>
          <w:szCs w:val="24"/>
        </w:rPr>
        <w:t>N</w:t>
      </w:r>
      <w:r>
        <w:rPr>
          <w:rFonts w:cs="Times New Roman"/>
          <w:szCs w:val="24"/>
        </w:rPr>
        <w:t>owak</w:t>
      </w:r>
      <w:proofErr w:type="spellEnd"/>
      <w:r>
        <w:rPr>
          <w:rFonts w:cs="Times New Roman"/>
          <w:szCs w:val="24"/>
        </w:rPr>
        <w:t xml:space="preserve"> </w:t>
      </w:r>
      <w:r w:rsidRPr="00D72E9F">
        <w:rPr>
          <w:rFonts w:cs="Times New Roman"/>
          <w:szCs w:val="24"/>
        </w:rPr>
        <w:t xml:space="preserve">utódja, Juan E. </w:t>
      </w:r>
      <w:proofErr w:type="spellStart"/>
      <w:r w:rsidRPr="00D72E9F">
        <w:rPr>
          <w:rFonts w:cs="Times New Roman"/>
          <w:szCs w:val="24"/>
        </w:rPr>
        <w:t>Méndez</w:t>
      </w:r>
      <w:proofErr w:type="spellEnd"/>
      <w:r w:rsidRPr="00D72E9F">
        <w:rPr>
          <w:rFonts w:cs="Times New Roman"/>
          <w:szCs w:val="24"/>
        </w:rPr>
        <w:t xml:space="preserve"> is.</w:t>
      </w:r>
      <w:r>
        <w:rPr>
          <w:rStyle w:val="Lbjegyzet-hivatkozs"/>
          <w:rFonts w:cs="Times New Roman"/>
          <w:szCs w:val="24"/>
        </w:rPr>
        <w:footnoteReference w:id="71"/>
      </w:r>
    </w:p>
    <w:p w14:paraId="2C5FF812" w14:textId="77777777" w:rsidR="00D72E9F" w:rsidRPr="002F3761" w:rsidRDefault="00D72E9F" w:rsidP="002F3761">
      <w:pPr>
        <w:contextualSpacing/>
        <w:rPr>
          <w:rFonts w:cs="Times New Roman"/>
          <w:szCs w:val="24"/>
        </w:rPr>
      </w:pPr>
    </w:p>
    <w:p w14:paraId="0D092B0C" w14:textId="77777777" w:rsidR="003E0B2B" w:rsidRPr="002F3761" w:rsidRDefault="003E0B2B" w:rsidP="002F3761">
      <w:pPr>
        <w:contextualSpacing/>
        <w:rPr>
          <w:rFonts w:cs="Times New Roman"/>
          <w:szCs w:val="24"/>
        </w:rPr>
      </w:pPr>
      <w:r w:rsidRPr="002F3761">
        <w:rPr>
          <w:rFonts w:cs="Times New Roman"/>
          <w:szCs w:val="24"/>
        </w:rPr>
        <w:t>Az ENSZ Emberi Jogi Bizottsága 35. számú Általános Kommentárja arra hívta fel a részes államokat, hogy vizsgálják felül a mentális egészség körébe tartozó idejétmúlt jogszabályaikat és gyakorlataikat annak érdekében, hogy önkényes fogvatartásra ne kerülhessen sor. Az ENSZ Emberi Jogi Bizottsága – a különleges jelentéstevő</w:t>
      </w:r>
      <w:r w:rsidR="00612250" w:rsidRPr="002F3761">
        <w:rPr>
          <w:rFonts w:cs="Times New Roman"/>
          <w:szCs w:val="24"/>
        </w:rPr>
        <w:t>kkel</w:t>
      </w:r>
      <w:r w:rsidRPr="002F3761">
        <w:rPr>
          <w:rFonts w:cs="Times New Roman"/>
          <w:szCs w:val="24"/>
        </w:rPr>
        <w:t xml:space="preserve"> ellentétben – azonban </w:t>
      </w:r>
      <w:r w:rsidR="00612250" w:rsidRPr="002F3761">
        <w:rPr>
          <w:rFonts w:cs="Times New Roman"/>
          <w:szCs w:val="24"/>
        </w:rPr>
        <w:t>kiemelte:</w:t>
      </w:r>
    </w:p>
    <w:p w14:paraId="33C53610" w14:textId="77777777" w:rsidR="003E0B2B" w:rsidRPr="002F3761" w:rsidRDefault="003E0B2B" w:rsidP="002F3761">
      <w:pPr>
        <w:contextualSpacing/>
        <w:rPr>
          <w:rFonts w:cs="Times New Roman"/>
          <w:szCs w:val="24"/>
        </w:rPr>
      </w:pPr>
    </w:p>
    <w:p w14:paraId="2FB7E153" w14:textId="77777777" w:rsidR="003E0B2B" w:rsidRPr="002F3761" w:rsidRDefault="003E0B2B" w:rsidP="002F3761">
      <w:pPr>
        <w:ind w:left="708"/>
        <w:contextualSpacing/>
        <w:rPr>
          <w:rFonts w:cs="Times New Roman"/>
          <w:szCs w:val="24"/>
        </w:rPr>
      </w:pPr>
      <w:r w:rsidRPr="002F3761">
        <w:rPr>
          <w:rFonts w:cs="Times New Roman"/>
          <w:szCs w:val="24"/>
        </w:rPr>
        <w:t xml:space="preserve">„A fogyatékosság megléte </w:t>
      </w:r>
      <w:r w:rsidRPr="002F3761">
        <w:rPr>
          <w:rFonts w:cs="Times New Roman"/>
          <w:i/>
          <w:szCs w:val="24"/>
        </w:rPr>
        <w:t>önmagában</w:t>
      </w:r>
      <w:r w:rsidRPr="002F3761">
        <w:rPr>
          <w:rFonts w:cs="Times New Roman"/>
          <w:szCs w:val="24"/>
        </w:rPr>
        <w:t xml:space="preserve"> nem indokolhatja a szabadságtól való megfosztást. Ehelyett inkább bármely szabadságtól való megfosztásnak szükségesnek és arányosnak kell lennie és arra kell irányulnia, hogy az érintett személyt a súlyos sérelemtől megóvja vagy mások sérelmét megelőzze.”</w:t>
      </w:r>
      <w:r w:rsidRPr="002F3761">
        <w:rPr>
          <w:rFonts w:cs="Times New Roman"/>
          <w:szCs w:val="24"/>
          <w:vertAlign w:val="superscript"/>
        </w:rPr>
        <w:footnoteReference w:id="72"/>
      </w:r>
    </w:p>
    <w:p w14:paraId="3C4BFB01" w14:textId="77777777" w:rsidR="003E0B2B" w:rsidRPr="002F3761" w:rsidRDefault="003E0B2B" w:rsidP="002F3761">
      <w:pPr>
        <w:contextualSpacing/>
        <w:rPr>
          <w:rFonts w:cs="Times New Roman"/>
          <w:szCs w:val="24"/>
        </w:rPr>
      </w:pPr>
    </w:p>
    <w:p w14:paraId="49E924A3" w14:textId="77777777" w:rsidR="005A4394" w:rsidRPr="002F3761" w:rsidRDefault="007451C4" w:rsidP="002F3761">
      <w:pPr>
        <w:contextualSpacing/>
        <w:rPr>
          <w:rFonts w:cs="Times New Roman"/>
          <w:szCs w:val="24"/>
        </w:rPr>
      </w:pPr>
      <w:r w:rsidRPr="002F3761">
        <w:rPr>
          <w:rFonts w:cs="Times New Roman"/>
          <w:szCs w:val="24"/>
        </w:rPr>
        <w:t xml:space="preserve">A </w:t>
      </w:r>
      <w:r w:rsidR="004A3CB9" w:rsidRPr="002F3761">
        <w:rPr>
          <w:rFonts w:cs="Times New Roman"/>
          <w:szCs w:val="24"/>
        </w:rPr>
        <w:t xml:space="preserve">ENSZ Fogyatékossággal élő személyek jogainak bizottsága (a továbbiakban: </w:t>
      </w:r>
      <w:r w:rsidRPr="002F3761">
        <w:rPr>
          <w:rFonts w:cs="Times New Roman"/>
          <w:szCs w:val="24"/>
        </w:rPr>
        <w:t>CRPD Bizottság</w:t>
      </w:r>
      <w:r w:rsidR="004A3CB9" w:rsidRPr="002F3761">
        <w:rPr>
          <w:rFonts w:cs="Times New Roman"/>
          <w:szCs w:val="24"/>
        </w:rPr>
        <w:t>)</w:t>
      </w:r>
      <w:r w:rsidRPr="002F3761">
        <w:rPr>
          <w:rFonts w:cs="Times New Roman"/>
          <w:szCs w:val="24"/>
        </w:rPr>
        <w:t xml:space="preserve"> </w:t>
      </w:r>
      <w:r w:rsidR="00755BBE" w:rsidRPr="002F3761">
        <w:rPr>
          <w:rFonts w:cs="Times New Roman"/>
          <w:szCs w:val="24"/>
        </w:rPr>
        <w:t>a különleges jelentéstevő</w:t>
      </w:r>
      <w:r w:rsidR="004A3CB9" w:rsidRPr="002F3761">
        <w:rPr>
          <w:rFonts w:cs="Times New Roman"/>
          <w:szCs w:val="24"/>
        </w:rPr>
        <w:t>k</w:t>
      </w:r>
      <w:r w:rsidR="00755BBE" w:rsidRPr="002F3761">
        <w:rPr>
          <w:rFonts w:cs="Times New Roman"/>
          <w:szCs w:val="24"/>
        </w:rPr>
        <w:t>höz hasonlóan</w:t>
      </w:r>
      <w:r w:rsidR="003E0B2B" w:rsidRPr="002F3761">
        <w:rPr>
          <w:rFonts w:cs="Times New Roman"/>
          <w:szCs w:val="24"/>
        </w:rPr>
        <w:t xml:space="preserve"> és az ENSZ Emberi Jogi Bizottsága álláspontjával szemben</w:t>
      </w:r>
      <w:r w:rsidR="00430A12" w:rsidRPr="002F3761">
        <w:rPr>
          <w:rStyle w:val="Lbjegyzet-hivatkozs"/>
          <w:rFonts w:cs="Times New Roman"/>
          <w:szCs w:val="24"/>
        </w:rPr>
        <w:footnoteReference w:id="73"/>
      </w:r>
      <w:r w:rsidR="00755BBE" w:rsidRPr="002F3761">
        <w:rPr>
          <w:rFonts w:cs="Times New Roman"/>
          <w:szCs w:val="24"/>
        </w:rPr>
        <w:t xml:space="preserve"> kiemelte, hogy</w:t>
      </w:r>
      <w:r w:rsidR="005A4394" w:rsidRPr="002F3761">
        <w:rPr>
          <w:rFonts w:cs="Times New Roman"/>
          <w:szCs w:val="24"/>
        </w:rPr>
        <w:t xml:space="preserve"> </w:t>
      </w:r>
      <w:r w:rsidR="005A4394" w:rsidRPr="002F3761">
        <w:rPr>
          <w:rFonts w:cs="Times New Roman"/>
          <w:i/>
          <w:szCs w:val="24"/>
        </w:rPr>
        <w:t>összeegyeztethetetlen a CRPD 14 cikkével, diszkriminatív, és a szabadságtól való önkényes megfosztást jelenti</w:t>
      </w:r>
      <w:r w:rsidR="005A4394" w:rsidRPr="002F3761">
        <w:rPr>
          <w:rFonts w:cs="Times New Roman"/>
          <w:szCs w:val="24"/>
        </w:rPr>
        <w:t xml:space="preserve">, hogy számos részes állam jogi szabályozása – ideértve az elme-egészségügyi törvényeket – lehetőséget biztosít </w:t>
      </w:r>
      <w:r w:rsidR="005A4394" w:rsidRPr="002F3761">
        <w:rPr>
          <w:rFonts w:cs="Times New Roman"/>
          <w:i/>
          <w:szCs w:val="24"/>
        </w:rPr>
        <w:t xml:space="preserve"> </w:t>
      </w:r>
      <w:r w:rsidR="005A4394" w:rsidRPr="002F3761">
        <w:rPr>
          <w:rFonts w:cs="Times New Roman"/>
          <w:szCs w:val="24"/>
        </w:rPr>
        <w:t xml:space="preserve">a </w:t>
      </w:r>
      <w:r w:rsidR="005A4394" w:rsidRPr="002F3761">
        <w:rPr>
          <w:rFonts w:cs="Times New Roman"/>
          <w:i/>
          <w:szCs w:val="24"/>
        </w:rPr>
        <w:t xml:space="preserve">valós vagy vélt károsodás alapján történő fogva tartásra, </w:t>
      </w:r>
      <w:r w:rsidR="003E0B2B" w:rsidRPr="002F3761">
        <w:rPr>
          <w:rFonts w:cs="Times New Roman"/>
          <w:i/>
          <w:szCs w:val="24"/>
        </w:rPr>
        <w:t>még akkor is, ha e mellé más okokat is megkíván</w:t>
      </w:r>
      <w:r w:rsidR="003E0B2B" w:rsidRPr="002F3761">
        <w:rPr>
          <w:rFonts w:cs="Times New Roman"/>
          <w:szCs w:val="24"/>
        </w:rPr>
        <w:t xml:space="preserve">, </w:t>
      </w:r>
      <w:r w:rsidR="00CC24C4" w:rsidRPr="002F3761">
        <w:rPr>
          <w:rFonts w:cs="Times New Roman"/>
          <w:szCs w:val="24"/>
        </w:rPr>
        <w:t xml:space="preserve">mint </w:t>
      </w:r>
      <w:r w:rsidR="005A4394" w:rsidRPr="002F3761">
        <w:rPr>
          <w:rFonts w:cs="Times New Roman"/>
          <w:szCs w:val="24"/>
        </w:rPr>
        <w:t>például az ön- és közveszélyesség</w:t>
      </w:r>
      <w:r w:rsidR="00CC24C4" w:rsidRPr="002F3761">
        <w:rPr>
          <w:rFonts w:cs="Times New Roman"/>
          <w:szCs w:val="24"/>
        </w:rPr>
        <w:t>et</w:t>
      </w:r>
      <w:r w:rsidR="005A4394" w:rsidRPr="002F3761">
        <w:rPr>
          <w:rFonts w:cs="Times New Roman"/>
          <w:szCs w:val="24"/>
        </w:rPr>
        <w:t>.</w:t>
      </w:r>
      <w:r w:rsidR="005A4394" w:rsidRPr="002F3761">
        <w:rPr>
          <w:rStyle w:val="Lbjegyzet-hivatkozs"/>
          <w:rFonts w:cs="Times New Roman"/>
          <w:szCs w:val="24"/>
        </w:rPr>
        <w:footnoteReference w:id="74"/>
      </w:r>
      <w:r w:rsidR="005A4394" w:rsidRPr="002F3761">
        <w:rPr>
          <w:rFonts w:cs="Times New Roman"/>
          <w:szCs w:val="24"/>
        </w:rPr>
        <w:t xml:space="preserve"> Összességében a </w:t>
      </w:r>
      <w:r w:rsidR="004A3CB9" w:rsidRPr="002F3761">
        <w:rPr>
          <w:rFonts w:cs="Times New Roman"/>
          <w:szCs w:val="24"/>
        </w:rPr>
        <w:t xml:space="preserve">CRPD </w:t>
      </w:r>
      <w:r w:rsidR="005A4394" w:rsidRPr="002F3761">
        <w:rPr>
          <w:rFonts w:cs="Times New Roman"/>
          <w:szCs w:val="24"/>
        </w:rPr>
        <w:t>Bizott</w:t>
      </w:r>
      <w:r w:rsidR="004A3CB9" w:rsidRPr="002F3761">
        <w:rPr>
          <w:rFonts w:cs="Times New Roman"/>
          <w:szCs w:val="24"/>
        </w:rPr>
        <w:t>ság rámutatott:</w:t>
      </w:r>
    </w:p>
    <w:p w14:paraId="102F61CD" w14:textId="77777777" w:rsidR="00755BBE" w:rsidRPr="002F3761" w:rsidRDefault="00755BBE" w:rsidP="002F3761">
      <w:pPr>
        <w:contextualSpacing/>
        <w:rPr>
          <w:rFonts w:cs="Times New Roman"/>
          <w:szCs w:val="24"/>
        </w:rPr>
      </w:pPr>
    </w:p>
    <w:p w14:paraId="04C7AE1F" w14:textId="77777777" w:rsidR="005A4394" w:rsidRPr="002F3761" w:rsidRDefault="005A4394" w:rsidP="002F3761">
      <w:pPr>
        <w:ind w:left="708"/>
        <w:contextualSpacing/>
        <w:rPr>
          <w:rFonts w:cs="Times New Roman"/>
          <w:szCs w:val="24"/>
        </w:rPr>
      </w:pPr>
      <w:r w:rsidRPr="002F3761">
        <w:rPr>
          <w:rFonts w:cs="Times New Roman"/>
          <w:szCs w:val="24"/>
        </w:rPr>
        <w:t xml:space="preserve">„[…] a 14. cikk (1) bekezdés (b) pontja tiltja a valós vagy vélt </w:t>
      </w:r>
      <w:r w:rsidR="003E0B2B" w:rsidRPr="002F3761">
        <w:rPr>
          <w:rFonts w:cs="Times New Roman"/>
          <w:szCs w:val="24"/>
        </w:rPr>
        <w:t xml:space="preserve">károsodás alapján történő szabadságtól való megfosztást még abban az esetben is, ha a szabadságtól való </w:t>
      </w:r>
      <w:r w:rsidR="003E0B2B" w:rsidRPr="002F3761">
        <w:rPr>
          <w:rFonts w:cs="Times New Roman"/>
          <w:szCs w:val="24"/>
        </w:rPr>
        <w:lastRenderedPageBreak/>
        <w:t>megfosztás igazolására [a károsodás mellett] további kitételek vagy kritériumok is alapul szolgálnak.”</w:t>
      </w:r>
      <w:r w:rsidR="003E0B2B" w:rsidRPr="002F3761">
        <w:rPr>
          <w:rStyle w:val="Lbjegyzet-hivatkozs"/>
          <w:rFonts w:cs="Times New Roman"/>
          <w:szCs w:val="24"/>
        </w:rPr>
        <w:footnoteReference w:id="75"/>
      </w:r>
    </w:p>
    <w:p w14:paraId="7B6F9B06" w14:textId="77777777" w:rsidR="005A4394" w:rsidRPr="002F3761" w:rsidRDefault="005A4394" w:rsidP="002F3761">
      <w:pPr>
        <w:contextualSpacing/>
        <w:rPr>
          <w:rFonts w:cs="Times New Roman"/>
          <w:szCs w:val="24"/>
        </w:rPr>
      </w:pPr>
    </w:p>
    <w:p w14:paraId="039B2520" w14:textId="77777777" w:rsidR="00BD5AB0" w:rsidRPr="002F3761" w:rsidRDefault="00A26615" w:rsidP="002F3761">
      <w:pPr>
        <w:contextualSpacing/>
        <w:rPr>
          <w:rFonts w:cs="Times New Roman"/>
          <w:szCs w:val="24"/>
        </w:rPr>
      </w:pPr>
      <w:r w:rsidRPr="002F3761">
        <w:rPr>
          <w:rFonts w:cs="Times New Roman"/>
          <w:szCs w:val="24"/>
        </w:rPr>
        <w:t>Shuaib Chalklen, a</w:t>
      </w:r>
      <w:r w:rsidR="0016665A" w:rsidRPr="002F3761">
        <w:rPr>
          <w:rFonts w:cs="Times New Roman"/>
          <w:szCs w:val="24"/>
        </w:rPr>
        <w:t>z ENSZ Fogyatékosságügyi különleges jelentéstevője</w:t>
      </w:r>
      <w:r w:rsidRPr="002F3761">
        <w:rPr>
          <w:rFonts w:cs="Times New Roman"/>
          <w:szCs w:val="24"/>
        </w:rPr>
        <w:t xml:space="preserve"> is aggodalmát fejezte ki az ENSZ Emberi Jogi Bizottsága álláspontjával kapcsolatosan és a 35. számú Általános Kommentár elfogadása előtt azt kérte az Emberi Jogi Bizottságtól, hogy a CRPD rendelkezéseinek és a CRPD Bizottság állásfoglalásainak megfelelően módosítsák a szövegtervezetet.</w:t>
      </w:r>
      <w:r w:rsidR="003E1385" w:rsidRPr="002F3761">
        <w:rPr>
          <w:rStyle w:val="Lbjegyzet-hivatkozs"/>
          <w:rFonts w:cs="Times New Roman"/>
          <w:szCs w:val="24"/>
        </w:rPr>
        <w:footnoteReference w:id="76"/>
      </w:r>
    </w:p>
    <w:p w14:paraId="71EBFE7C" w14:textId="77777777" w:rsidR="00DA7DF0" w:rsidRPr="002F3761" w:rsidRDefault="00DA7DF0" w:rsidP="002F3761">
      <w:pPr>
        <w:contextualSpacing/>
        <w:rPr>
          <w:rFonts w:cs="Times New Roman"/>
          <w:szCs w:val="24"/>
        </w:rPr>
      </w:pPr>
    </w:p>
    <w:p w14:paraId="058ECE4A" w14:textId="77777777" w:rsidR="00AB2E11" w:rsidRPr="002F3761" w:rsidRDefault="00DA7DF0" w:rsidP="002F3761">
      <w:pPr>
        <w:contextualSpacing/>
        <w:rPr>
          <w:rFonts w:cs="Times New Roman"/>
          <w:szCs w:val="24"/>
        </w:rPr>
      </w:pPr>
      <w:r w:rsidRPr="002F3761">
        <w:rPr>
          <w:rFonts w:cs="Times New Roman"/>
          <w:szCs w:val="24"/>
        </w:rPr>
        <w:t>Kiemelendő, hogy az ENSZ Nőkkel Szembeni Hátrányos Megkülönböztetés Kiküszöbölésével Foglalkozó Bizottsága is magáévá tette a CRPD Bizottság álláspontját és a Nőkkel szembeni hátrányos megkülönböztetés minden formájának kiküszöböléséről szóló</w:t>
      </w:r>
      <w:r w:rsidR="00366425" w:rsidRPr="002F3761">
        <w:rPr>
          <w:rFonts w:cs="Times New Roman"/>
          <w:szCs w:val="24"/>
        </w:rPr>
        <w:t xml:space="preserve"> ENSZ Egyezmény olyan értelmezését tette magáévá, amely szerint</w:t>
      </w:r>
      <w:r w:rsidR="00A1017C" w:rsidRPr="002F3761">
        <w:rPr>
          <w:rFonts w:cs="Times New Roman"/>
          <w:szCs w:val="24"/>
        </w:rPr>
        <w:t xml:space="preserve"> </w:t>
      </w:r>
      <w:r w:rsidR="00AB2E11" w:rsidRPr="002F3761">
        <w:rPr>
          <w:rFonts w:cs="Times New Roman"/>
          <w:szCs w:val="24"/>
        </w:rPr>
        <w:t xml:space="preserve">meg kell tiltani a nők fogyatékosságon alapuló fogva tartását, ideértve a nem-önkéntes kórházi és a </w:t>
      </w:r>
      <w:r w:rsidR="00D01DDB" w:rsidRPr="002F3761">
        <w:rPr>
          <w:rFonts w:cs="Times New Roman"/>
          <w:szCs w:val="24"/>
        </w:rPr>
        <w:t xml:space="preserve">nem-önkéntes </w:t>
      </w:r>
      <w:r w:rsidR="00AB2E11" w:rsidRPr="002F3761">
        <w:rPr>
          <w:rFonts w:cs="Times New Roman"/>
          <w:szCs w:val="24"/>
        </w:rPr>
        <w:t>intézményi elhelyezése</w:t>
      </w:r>
      <w:r w:rsidR="00A1017C" w:rsidRPr="002F3761">
        <w:rPr>
          <w:rFonts w:cs="Times New Roman"/>
          <w:szCs w:val="24"/>
        </w:rPr>
        <w:t>i</w:t>
      </w:r>
      <w:r w:rsidR="00AB2E11" w:rsidRPr="002F3761">
        <w:rPr>
          <w:rFonts w:cs="Times New Roman"/>
          <w:szCs w:val="24"/>
        </w:rPr>
        <w:t>ket</w:t>
      </w:r>
      <w:r w:rsidR="00A1017C" w:rsidRPr="002F3761">
        <w:rPr>
          <w:rFonts w:cs="Times New Roman"/>
          <w:szCs w:val="24"/>
        </w:rPr>
        <w:t>,</w:t>
      </w:r>
      <w:r w:rsidR="00AB2E11" w:rsidRPr="002F3761">
        <w:rPr>
          <w:rFonts w:cs="Times New Roman"/>
          <w:szCs w:val="24"/>
        </w:rPr>
        <w:t xml:space="preserve"> és hatályon </w:t>
      </w:r>
      <w:r w:rsidR="00A1017C" w:rsidRPr="002F3761">
        <w:rPr>
          <w:rFonts w:cs="Times New Roman"/>
          <w:szCs w:val="24"/>
        </w:rPr>
        <w:t>kívül kell helyezni</w:t>
      </w:r>
      <w:r w:rsidR="00AB2E11" w:rsidRPr="002F3761">
        <w:rPr>
          <w:rFonts w:cs="Times New Roman"/>
          <w:szCs w:val="24"/>
        </w:rPr>
        <w:t xml:space="preserve"> azokat a jogszabályokat, amelyek ezekhez alapul szolgálnak</w:t>
      </w:r>
      <w:r w:rsidR="00A1017C" w:rsidRPr="002F3761">
        <w:rPr>
          <w:rFonts w:cs="Times New Roman"/>
          <w:szCs w:val="24"/>
        </w:rPr>
        <w:t>.</w:t>
      </w:r>
      <w:r w:rsidR="00AB2E11" w:rsidRPr="002F3761">
        <w:rPr>
          <w:rStyle w:val="Lbjegyzet-hivatkozs"/>
          <w:rFonts w:cs="Times New Roman"/>
          <w:szCs w:val="24"/>
        </w:rPr>
        <w:footnoteReference w:id="77"/>
      </w:r>
    </w:p>
    <w:p w14:paraId="528CAE72" w14:textId="77777777" w:rsidR="0001347F" w:rsidRPr="002F3761" w:rsidRDefault="0001347F" w:rsidP="002F3761">
      <w:pPr>
        <w:contextualSpacing/>
        <w:rPr>
          <w:rFonts w:cs="Times New Roman"/>
          <w:szCs w:val="24"/>
        </w:rPr>
      </w:pPr>
    </w:p>
    <w:p w14:paraId="7A0D22C7" w14:textId="77777777" w:rsidR="00DB31DB" w:rsidRPr="002F3761" w:rsidRDefault="007451C4" w:rsidP="002F3761">
      <w:pPr>
        <w:contextualSpacing/>
        <w:rPr>
          <w:rFonts w:cs="Times New Roman"/>
          <w:szCs w:val="24"/>
        </w:rPr>
      </w:pPr>
      <w:r w:rsidRPr="002F3761">
        <w:rPr>
          <w:rFonts w:cs="Times New Roman"/>
          <w:szCs w:val="24"/>
        </w:rPr>
        <w:t xml:space="preserve">A CRPD Bizottság hangsúlyozta, hogy az a jogi megoldás </w:t>
      </w:r>
      <w:r w:rsidR="00CC24C4" w:rsidRPr="002F3761">
        <w:rPr>
          <w:rFonts w:cs="Times New Roman"/>
          <w:szCs w:val="24"/>
        </w:rPr>
        <w:t>n</w:t>
      </w:r>
      <w:r w:rsidRPr="002F3761">
        <w:rPr>
          <w:rFonts w:cs="Times New Roman"/>
          <w:szCs w:val="24"/>
        </w:rPr>
        <w:t>em áll összhangban a CRPD 14. cikkével, amely a fogyatékossággal élő személyek fogva tartását azon az alapon teszi lehetővé, hogy állítólagos veszélyt jelentenek saját maguk vagy mások számára.</w:t>
      </w:r>
      <w:r w:rsidRPr="002F3761">
        <w:rPr>
          <w:rFonts w:cs="Times New Roman"/>
          <w:szCs w:val="24"/>
          <w:vertAlign w:val="superscript"/>
        </w:rPr>
        <w:footnoteReference w:id="78"/>
      </w:r>
      <w:r w:rsidR="00DB31DB" w:rsidRPr="002F3761">
        <w:rPr>
          <w:rFonts w:cs="Times New Roman"/>
          <w:szCs w:val="24"/>
        </w:rPr>
        <w:t xml:space="preserve"> Itt szükséges </w:t>
      </w:r>
      <w:r w:rsidR="00CC24C4" w:rsidRPr="002F3761">
        <w:rPr>
          <w:rFonts w:cs="Times New Roman"/>
          <w:szCs w:val="24"/>
        </w:rPr>
        <w:t>kiemelni azt</w:t>
      </w:r>
      <w:r w:rsidR="00DB31DB" w:rsidRPr="002F3761">
        <w:rPr>
          <w:rFonts w:cs="Times New Roman"/>
          <w:szCs w:val="24"/>
        </w:rPr>
        <w:t xml:space="preserve"> is, hogy kutatások azt támasztják alá, hogy a pszichiátriai betegek általában nem veszélyesebbek másokra, mint az átlagpopuláció, tehát a pszichiátriai betegeket nem stigmatizálhatjuk a másokra való veszélyességgel.</w:t>
      </w:r>
      <w:r w:rsidR="00DB31DB" w:rsidRPr="002F3761">
        <w:rPr>
          <w:rFonts w:cs="Times New Roman"/>
          <w:szCs w:val="24"/>
          <w:vertAlign w:val="superscript"/>
        </w:rPr>
        <w:footnoteReference w:id="79"/>
      </w:r>
      <w:r w:rsidR="00DB31DB" w:rsidRPr="002F3761">
        <w:rPr>
          <w:rFonts w:cs="Times New Roman"/>
          <w:szCs w:val="24"/>
        </w:rPr>
        <w:t xml:space="preserve"> Mindemellett</w:t>
      </w:r>
      <w:r w:rsidR="00926ECE" w:rsidRPr="002F3761">
        <w:rPr>
          <w:rFonts w:cs="Times New Roman"/>
          <w:szCs w:val="24"/>
        </w:rPr>
        <w:t xml:space="preserve"> „[a]</w:t>
      </w:r>
      <w:r w:rsidR="00DB31DB" w:rsidRPr="002F3761">
        <w:rPr>
          <w:rFonts w:cs="Times New Roman"/>
          <w:szCs w:val="24"/>
        </w:rPr>
        <w:t xml:space="preserve"> másokra való veszélyesség megítélése </w:t>
      </w:r>
      <w:r w:rsidR="00926ECE" w:rsidRPr="002F3761">
        <w:rPr>
          <w:rFonts w:cs="Times New Roman"/>
          <w:szCs w:val="24"/>
        </w:rPr>
        <w:t>[…]</w:t>
      </w:r>
      <w:r w:rsidR="00DB31DB" w:rsidRPr="002F3761">
        <w:rPr>
          <w:rFonts w:cs="Times New Roman"/>
          <w:szCs w:val="24"/>
        </w:rPr>
        <w:t xml:space="preserve"> a pszichiátriában nehéz, s jól ismerten pontatlan. Közismert, hogy a pszichiátriában jelentősen túlbecsülik a betegek másokra való veszélyességét, vagyis sok olyan betegről jelentik ki, hogy másokra veszélyes, akikről aztán kiderül, hogy valójában nem az.</w:t>
      </w:r>
      <w:r w:rsidR="00926ECE" w:rsidRPr="002F3761">
        <w:rPr>
          <w:rFonts w:cs="Times New Roman"/>
          <w:szCs w:val="24"/>
        </w:rPr>
        <w:t>"</w:t>
      </w:r>
      <w:r w:rsidR="00926ECE" w:rsidRPr="002F3761">
        <w:rPr>
          <w:rStyle w:val="Lbjegyzet-hivatkozs"/>
          <w:rFonts w:cs="Times New Roman"/>
          <w:szCs w:val="24"/>
        </w:rPr>
        <w:footnoteReference w:id="80"/>
      </w:r>
    </w:p>
    <w:p w14:paraId="64FC248D" w14:textId="77777777" w:rsidR="00DB31DB" w:rsidRPr="002F3761" w:rsidRDefault="00DB31DB" w:rsidP="002F3761">
      <w:pPr>
        <w:contextualSpacing/>
        <w:rPr>
          <w:rFonts w:cs="Times New Roman"/>
          <w:szCs w:val="24"/>
        </w:rPr>
      </w:pPr>
    </w:p>
    <w:p w14:paraId="38132398" w14:textId="77777777" w:rsidR="008D252D" w:rsidRPr="002F3761" w:rsidRDefault="008D252D" w:rsidP="002F3761">
      <w:pPr>
        <w:contextualSpacing/>
        <w:rPr>
          <w:rFonts w:eastAsia="Calibri" w:cs="Times New Roman"/>
          <w:bCs/>
          <w:szCs w:val="24"/>
        </w:rPr>
      </w:pPr>
      <w:r w:rsidRPr="002F3761">
        <w:rPr>
          <w:rFonts w:eastAsia="Calibri" w:cs="Times New Roman"/>
          <w:bCs/>
          <w:szCs w:val="24"/>
        </w:rPr>
        <w:t>A</w:t>
      </w:r>
      <w:r w:rsidR="00F153E2" w:rsidRPr="002F3761">
        <w:rPr>
          <w:rFonts w:eastAsia="Calibri" w:cs="Times New Roman"/>
          <w:bCs/>
          <w:szCs w:val="24"/>
        </w:rPr>
        <w:t xml:space="preserve"> </w:t>
      </w:r>
      <w:r w:rsidR="007451C4" w:rsidRPr="002F3761">
        <w:rPr>
          <w:rFonts w:eastAsia="Calibri" w:cs="Times New Roman"/>
          <w:bCs/>
          <w:szCs w:val="24"/>
        </w:rPr>
        <w:t xml:space="preserve">CRPD Bizottság </w:t>
      </w:r>
      <w:r w:rsidRPr="002F3761">
        <w:rPr>
          <w:rFonts w:eastAsia="Calibri" w:cs="Times New Roman"/>
          <w:bCs/>
          <w:szCs w:val="24"/>
        </w:rPr>
        <w:t xml:space="preserve">arra is rámutatott, hogy a CRPD törvény előtti egyenlőségről szóló 12. cikke – amely a cselekvőképességgel és a támogatáson alapuló cselekvőképesség-gyakorlással kapcsolatosan ír elő kötelezettségeket – és 14. cikke között fontos összefüggés van. </w:t>
      </w:r>
      <w:r w:rsidR="00F153E2" w:rsidRPr="002F3761">
        <w:rPr>
          <w:rFonts w:eastAsia="Calibri" w:cs="Times New Roman"/>
          <w:bCs/>
          <w:szCs w:val="24"/>
        </w:rPr>
        <w:t>A fogyatékossággal élő személyektől gyakran vonják meg cselekvőképességüket és helyezik őket gondnokság alá</w:t>
      </w:r>
      <w:r w:rsidR="00192062" w:rsidRPr="002F3761">
        <w:rPr>
          <w:rFonts w:eastAsia="Calibri" w:cs="Times New Roman"/>
          <w:bCs/>
          <w:szCs w:val="24"/>
        </w:rPr>
        <w:t>.</w:t>
      </w:r>
      <w:r w:rsidR="00F153E2" w:rsidRPr="002F3761">
        <w:rPr>
          <w:rStyle w:val="Lbjegyzet-hivatkozs"/>
          <w:rFonts w:eastAsia="Calibri" w:cs="Times New Roman"/>
          <w:bCs/>
          <w:szCs w:val="24"/>
        </w:rPr>
        <w:footnoteReference w:id="81"/>
      </w:r>
      <w:r w:rsidR="00192062" w:rsidRPr="002F3761">
        <w:rPr>
          <w:rFonts w:eastAsia="Calibri" w:cs="Times New Roman"/>
          <w:bCs/>
          <w:szCs w:val="24"/>
        </w:rPr>
        <w:t xml:space="preserve"> A gondnok – az érintett személy akaratától függetlenül –, helyettes döntéshozóként eljárva kezdeményezheti gondnokoltjának akár tartós szociális ellátást nyújtó intézményben, akár kórházi pszichiátriai osztály zárt részlegén történő </w:t>
      </w:r>
      <w:r w:rsidR="00192062" w:rsidRPr="002F3761">
        <w:rPr>
          <w:rFonts w:eastAsia="Calibri" w:cs="Times New Roman"/>
          <w:bCs/>
          <w:i/>
          <w:szCs w:val="24"/>
        </w:rPr>
        <w:lastRenderedPageBreak/>
        <w:t>elhelyezését</w:t>
      </w:r>
      <w:r w:rsidR="00192062" w:rsidRPr="002F3761">
        <w:rPr>
          <w:rFonts w:eastAsia="Calibri" w:cs="Times New Roman"/>
          <w:bCs/>
          <w:szCs w:val="24"/>
        </w:rPr>
        <w:t>,</w:t>
      </w:r>
      <w:r w:rsidR="00192062" w:rsidRPr="002F3761">
        <w:rPr>
          <w:rStyle w:val="Lbjegyzet-hivatkozs"/>
          <w:rFonts w:eastAsia="Calibri" w:cs="Times New Roman"/>
          <w:bCs/>
          <w:szCs w:val="24"/>
        </w:rPr>
        <w:footnoteReference w:id="82"/>
      </w:r>
      <w:r w:rsidR="00192062" w:rsidRPr="002F3761">
        <w:rPr>
          <w:rFonts w:eastAsia="Calibri" w:cs="Times New Roman"/>
          <w:bCs/>
          <w:szCs w:val="24"/>
        </w:rPr>
        <w:t xml:space="preserve"> amely gyakorlat a szabadságtól való önkényes megfosztást </w:t>
      </w:r>
      <w:r w:rsidR="00024C55" w:rsidRPr="002F3761">
        <w:rPr>
          <w:rFonts w:eastAsia="Calibri" w:cs="Times New Roman"/>
          <w:bCs/>
          <w:szCs w:val="24"/>
        </w:rPr>
        <w:t>eredményezi</w:t>
      </w:r>
      <w:r w:rsidR="00192062" w:rsidRPr="002F3761">
        <w:rPr>
          <w:rFonts w:eastAsia="Calibri" w:cs="Times New Roman"/>
          <w:bCs/>
          <w:szCs w:val="24"/>
        </w:rPr>
        <w:t xml:space="preserve"> és a CRPD 12. és 14. cikkének sérelmét jelenti.</w:t>
      </w:r>
      <w:r w:rsidR="00192062" w:rsidRPr="002F3761">
        <w:rPr>
          <w:rStyle w:val="Lbjegyzet-hivatkozs"/>
          <w:rFonts w:eastAsia="Calibri" w:cs="Times New Roman"/>
          <w:bCs/>
          <w:szCs w:val="24"/>
        </w:rPr>
        <w:footnoteReference w:id="83"/>
      </w:r>
      <w:r w:rsidR="00CD4415" w:rsidRPr="002F3761">
        <w:rPr>
          <w:rFonts w:eastAsia="Calibri" w:cs="Times New Roman"/>
          <w:bCs/>
          <w:szCs w:val="24"/>
        </w:rPr>
        <w:t xml:space="preserve"> Amennyiben az érintett személy nem áll gondnokság alatt, de nem-önkéntes pszichiátriai osztályon történő elhelyezésére valamely valós vagy vélt károsodása miatt kerül sor, akkor az szintén a 12. cikk sérelmét idézi elő, mivel </w:t>
      </w:r>
      <w:r w:rsidR="00A05B0A" w:rsidRPr="002F3761">
        <w:rPr>
          <w:rFonts w:eastAsia="Calibri" w:cs="Times New Roman"/>
          <w:bCs/>
          <w:szCs w:val="24"/>
        </w:rPr>
        <w:t xml:space="preserve">ez a gyakorlat </w:t>
      </w:r>
      <w:r w:rsidR="00CD4415" w:rsidRPr="002F3761">
        <w:rPr>
          <w:rFonts w:eastAsia="Calibri" w:cs="Times New Roman"/>
          <w:bCs/>
          <w:szCs w:val="24"/>
        </w:rPr>
        <w:t>az érintett személy döntéshozatal</w:t>
      </w:r>
      <w:r w:rsidR="00A05B0A" w:rsidRPr="002F3761">
        <w:rPr>
          <w:rFonts w:eastAsia="Calibri" w:cs="Times New Roman"/>
          <w:bCs/>
          <w:szCs w:val="24"/>
        </w:rPr>
        <w:t>át figyelmen kívül hagyva,</w:t>
      </w:r>
      <w:r w:rsidR="00CD4415" w:rsidRPr="002F3761">
        <w:rPr>
          <w:rFonts w:eastAsia="Calibri" w:cs="Times New Roman"/>
          <w:bCs/>
          <w:szCs w:val="24"/>
        </w:rPr>
        <w:t xml:space="preserve"> </w:t>
      </w:r>
      <w:r w:rsidR="00A05B0A" w:rsidRPr="002F3761">
        <w:rPr>
          <w:rFonts w:eastAsia="Calibri" w:cs="Times New Roman"/>
          <w:bCs/>
          <w:szCs w:val="24"/>
        </w:rPr>
        <w:t>c</w:t>
      </w:r>
      <w:r w:rsidR="00CD4415" w:rsidRPr="002F3761">
        <w:rPr>
          <w:rFonts w:eastAsia="Calibri" w:cs="Times New Roman"/>
          <w:bCs/>
          <w:szCs w:val="24"/>
        </w:rPr>
        <w:t xml:space="preserve">selekvőképességének </w:t>
      </w:r>
      <w:r w:rsidR="00A05B0A" w:rsidRPr="002F3761">
        <w:rPr>
          <w:rFonts w:eastAsia="Calibri" w:cs="Times New Roman"/>
          <w:bCs/>
          <w:i/>
          <w:szCs w:val="24"/>
        </w:rPr>
        <w:t>de facto</w:t>
      </w:r>
      <w:r w:rsidR="00A05B0A" w:rsidRPr="002F3761">
        <w:rPr>
          <w:rFonts w:eastAsia="Calibri" w:cs="Times New Roman"/>
          <w:bCs/>
          <w:szCs w:val="24"/>
        </w:rPr>
        <w:t xml:space="preserve"> </w:t>
      </w:r>
      <w:r w:rsidR="00CD4415" w:rsidRPr="002F3761">
        <w:rPr>
          <w:rFonts w:eastAsia="Calibri" w:cs="Times New Roman"/>
          <w:bCs/>
          <w:szCs w:val="24"/>
        </w:rPr>
        <w:t>meg</w:t>
      </w:r>
      <w:r w:rsidR="00A05B0A" w:rsidRPr="002F3761">
        <w:rPr>
          <w:rFonts w:eastAsia="Calibri" w:cs="Times New Roman"/>
          <w:bCs/>
          <w:szCs w:val="24"/>
        </w:rPr>
        <w:t>vonására</w:t>
      </w:r>
      <w:r w:rsidR="00CD4415" w:rsidRPr="002F3761">
        <w:rPr>
          <w:rFonts w:eastAsia="Calibri" w:cs="Times New Roman"/>
          <w:bCs/>
          <w:szCs w:val="24"/>
        </w:rPr>
        <w:t xml:space="preserve"> épül.</w:t>
      </w:r>
      <w:r w:rsidR="00A05B0A" w:rsidRPr="002F3761">
        <w:rPr>
          <w:rStyle w:val="Lbjegyzet-hivatkozs"/>
          <w:rFonts w:eastAsia="Calibri" w:cs="Times New Roman"/>
          <w:bCs/>
          <w:szCs w:val="24"/>
        </w:rPr>
        <w:footnoteReference w:id="84"/>
      </w:r>
    </w:p>
    <w:p w14:paraId="5149470C" w14:textId="77777777" w:rsidR="008D252D" w:rsidRPr="002F3761" w:rsidRDefault="008D252D" w:rsidP="002F3761">
      <w:pPr>
        <w:contextualSpacing/>
        <w:rPr>
          <w:rFonts w:eastAsia="Calibri" w:cs="Times New Roman"/>
          <w:bCs/>
          <w:szCs w:val="24"/>
        </w:rPr>
      </w:pPr>
    </w:p>
    <w:p w14:paraId="0337867B" w14:textId="77777777" w:rsidR="00755BBE" w:rsidRPr="002F3761" w:rsidRDefault="00CD4415" w:rsidP="002F3761">
      <w:pPr>
        <w:contextualSpacing/>
        <w:rPr>
          <w:rFonts w:eastAsia="Calibri" w:cs="Times New Roman"/>
          <w:bCs/>
          <w:szCs w:val="24"/>
        </w:rPr>
      </w:pPr>
      <w:r w:rsidRPr="002F3761">
        <w:rPr>
          <w:rFonts w:eastAsia="Calibri" w:cs="Times New Roman"/>
          <w:bCs/>
          <w:szCs w:val="24"/>
        </w:rPr>
        <w:t>Mindezek mellett, a</w:t>
      </w:r>
      <w:r w:rsidR="006C5010" w:rsidRPr="002F3761">
        <w:rPr>
          <w:rFonts w:eastAsia="Calibri" w:cs="Times New Roman"/>
          <w:bCs/>
          <w:szCs w:val="24"/>
        </w:rPr>
        <w:t xml:space="preserve"> fogyatékossággal élő személyek </w:t>
      </w:r>
      <w:r w:rsidRPr="002F3761">
        <w:rPr>
          <w:rFonts w:eastAsia="Calibri" w:cs="Times New Roman"/>
          <w:bCs/>
          <w:szCs w:val="24"/>
        </w:rPr>
        <w:t xml:space="preserve">egészségügyi intézmények pszichiátriai osztályain történő </w:t>
      </w:r>
      <w:r w:rsidR="006C5010" w:rsidRPr="002F3761">
        <w:rPr>
          <w:rFonts w:eastAsia="Calibri" w:cs="Times New Roman"/>
          <w:bCs/>
          <w:i/>
          <w:szCs w:val="24"/>
        </w:rPr>
        <w:t xml:space="preserve">nem-önkéntes </w:t>
      </w:r>
      <w:r w:rsidR="0016584D" w:rsidRPr="002F3761">
        <w:rPr>
          <w:rFonts w:eastAsia="Calibri" w:cs="Times New Roman"/>
          <w:bCs/>
          <w:i/>
          <w:szCs w:val="24"/>
        </w:rPr>
        <w:t>kezelésével</w:t>
      </w:r>
      <w:r w:rsidRPr="002F3761">
        <w:rPr>
          <w:rFonts w:eastAsia="Calibri" w:cs="Times New Roman"/>
          <w:bCs/>
          <w:szCs w:val="24"/>
        </w:rPr>
        <w:t xml:space="preserve"> kapcsolatosan </w:t>
      </w:r>
      <w:r w:rsidR="0016584D" w:rsidRPr="002F3761">
        <w:rPr>
          <w:rFonts w:eastAsia="Calibri" w:cs="Times New Roman"/>
          <w:bCs/>
          <w:szCs w:val="24"/>
        </w:rPr>
        <w:t>a CRPD Bizottság</w:t>
      </w:r>
      <w:r w:rsidR="00F366BB" w:rsidRPr="002F3761">
        <w:rPr>
          <w:rFonts w:eastAsia="Calibri" w:cs="Times New Roman"/>
          <w:bCs/>
          <w:szCs w:val="24"/>
        </w:rPr>
        <w:t xml:space="preserve"> – az 1. számú Általános Kommentárjában –</w:t>
      </w:r>
      <w:r w:rsidR="0016584D" w:rsidRPr="002F3761">
        <w:rPr>
          <w:rFonts w:eastAsia="Calibri" w:cs="Times New Roman"/>
          <w:bCs/>
          <w:szCs w:val="24"/>
        </w:rPr>
        <w:t xml:space="preserve"> </w:t>
      </w:r>
      <w:r w:rsidR="00F366BB" w:rsidRPr="002F3761">
        <w:rPr>
          <w:rFonts w:eastAsia="Calibri" w:cs="Times New Roman"/>
          <w:bCs/>
          <w:szCs w:val="24"/>
        </w:rPr>
        <w:t>az alábbi módon</w:t>
      </w:r>
      <w:r w:rsidR="00755BBE" w:rsidRPr="002F3761">
        <w:rPr>
          <w:rFonts w:eastAsia="Calibri" w:cs="Times New Roman"/>
          <w:bCs/>
          <w:szCs w:val="24"/>
        </w:rPr>
        <w:t xml:space="preserve"> értelmezte a CRPD </w:t>
      </w:r>
      <w:r w:rsidR="001E6F02" w:rsidRPr="002F3761">
        <w:rPr>
          <w:rFonts w:eastAsia="Calibri" w:cs="Times New Roman"/>
          <w:bCs/>
          <w:szCs w:val="24"/>
        </w:rPr>
        <w:t xml:space="preserve">egészségügyről szóló </w:t>
      </w:r>
      <w:r w:rsidR="00F366BB" w:rsidRPr="002F3761">
        <w:rPr>
          <w:rFonts w:eastAsia="Calibri" w:cs="Times New Roman"/>
          <w:bCs/>
          <w:szCs w:val="24"/>
        </w:rPr>
        <w:t>25. cikkét:</w:t>
      </w:r>
    </w:p>
    <w:p w14:paraId="042EDE7A" w14:textId="77777777" w:rsidR="00755BBE" w:rsidRPr="002F3761" w:rsidRDefault="00755BBE" w:rsidP="002F3761">
      <w:pPr>
        <w:contextualSpacing/>
        <w:rPr>
          <w:rFonts w:eastAsia="Calibri" w:cs="Times New Roman"/>
          <w:bCs/>
          <w:szCs w:val="24"/>
        </w:rPr>
      </w:pPr>
    </w:p>
    <w:p w14:paraId="15198DDF" w14:textId="77777777" w:rsidR="007451C4" w:rsidRPr="002F3761" w:rsidRDefault="007451C4" w:rsidP="002F3761">
      <w:pPr>
        <w:ind w:left="708"/>
        <w:contextualSpacing/>
        <w:rPr>
          <w:rFonts w:cs="Times New Roman"/>
          <w:szCs w:val="24"/>
        </w:rPr>
      </w:pPr>
      <w:r w:rsidRPr="002F3761">
        <w:rPr>
          <w:rFonts w:eastAsia="Calibri" w:cs="Times New Roman"/>
          <w:bCs/>
          <w:szCs w:val="24"/>
        </w:rPr>
        <w:t>„a</w:t>
      </w:r>
      <w:r w:rsidR="00E93847">
        <w:rPr>
          <w:rFonts w:eastAsia="Calibri" w:cs="Times New Roman"/>
          <w:bCs/>
          <w:szCs w:val="24"/>
        </w:rPr>
        <w:t xml:space="preserve"> lehető legmagasabb szintű egészséghez való jog</w:t>
      </w:r>
      <w:r w:rsidRPr="002F3761">
        <w:rPr>
          <w:rFonts w:cs="Times New Roman"/>
          <w:szCs w:val="24"/>
        </w:rPr>
        <w:t xml:space="preserve"> </w:t>
      </w:r>
      <w:r w:rsidR="001E6F02" w:rsidRPr="002F3761">
        <w:rPr>
          <w:rFonts w:cs="Times New Roman"/>
          <w:szCs w:val="24"/>
        </w:rPr>
        <w:t>[…]</w:t>
      </w:r>
      <w:r w:rsidRPr="002F3761">
        <w:rPr>
          <w:rFonts w:cs="Times New Roman"/>
          <w:szCs w:val="24"/>
        </w:rPr>
        <w:t xml:space="preserve"> magában foglalja a szabad és tájékoztatáson alapuló egészségügyi ellátáshoz való jogot. </w:t>
      </w:r>
      <w:r w:rsidRPr="002F3761">
        <w:rPr>
          <w:rFonts w:cs="Times New Roman"/>
          <w:i/>
          <w:szCs w:val="24"/>
        </w:rPr>
        <w:t>A részes államok kötelesek arra, hogy minden egészségügyi szakembertől (ideértve a pszichiátriai szakaembereket is) megköveteljék, hogy a fogyatékossággal élő személyektől szerezzék be a szabad és tájékoztatáson alapuló beleegyezésüket valamennyi kezelés előtt.</w:t>
      </w:r>
      <w:r w:rsidRPr="002F3761">
        <w:rPr>
          <w:rFonts w:cs="Times New Roman"/>
          <w:szCs w:val="24"/>
        </w:rPr>
        <w:t xml:space="preserve"> A másokkal egyenlő alapú cselekvőképességhez való jogot is szem előtt tartva a részes államok kötelesek arra, hogy </w:t>
      </w:r>
      <w:r w:rsidRPr="002F3761">
        <w:rPr>
          <w:rFonts w:cs="Times New Roman"/>
          <w:i/>
          <w:szCs w:val="24"/>
        </w:rPr>
        <w:t>ne engedjék, hogy a fogyatékossággal élő személyek nevében helyettes döntéshozó adja meg a beleegyezést</w:t>
      </w:r>
      <w:r w:rsidRPr="002F3761">
        <w:rPr>
          <w:rFonts w:cs="Times New Roman"/>
          <w:szCs w:val="24"/>
        </w:rPr>
        <w:t>.”</w:t>
      </w:r>
      <w:r w:rsidRPr="002F3761">
        <w:rPr>
          <w:rFonts w:cs="Times New Roman"/>
          <w:szCs w:val="24"/>
          <w:vertAlign w:val="superscript"/>
        </w:rPr>
        <w:footnoteReference w:id="85"/>
      </w:r>
    </w:p>
    <w:p w14:paraId="10645A2E" w14:textId="77777777" w:rsidR="007451C4" w:rsidRPr="002F3761" w:rsidRDefault="007451C4" w:rsidP="002F3761">
      <w:pPr>
        <w:ind w:left="709" w:hanging="709"/>
        <w:contextualSpacing/>
        <w:rPr>
          <w:rFonts w:eastAsia="Calibri" w:cs="Times New Roman"/>
          <w:bCs/>
          <w:szCs w:val="24"/>
        </w:rPr>
      </w:pPr>
    </w:p>
    <w:p w14:paraId="74E44773" w14:textId="77777777" w:rsidR="0016584D" w:rsidRPr="002F3761" w:rsidRDefault="0016584D" w:rsidP="002F3761">
      <w:pPr>
        <w:contextualSpacing/>
        <w:rPr>
          <w:rFonts w:eastAsia="Calibri" w:cs="Times New Roman"/>
          <w:bCs/>
          <w:szCs w:val="24"/>
        </w:rPr>
      </w:pPr>
      <w:r w:rsidRPr="002F3761">
        <w:rPr>
          <w:rFonts w:eastAsia="Calibri" w:cs="Times New Roman"/>
          <w:bCs/>
          <w:szCs w:val="24"/>
        </w:rPr>
        <w:t>A CRPD 12. cikke tehát a nem-önkéntes kezelés tekintetében is releváns, hiszen a kezelésbe való beleegyezés nem az érintett személytől, hanem egy helyettes döntéshozótól származik.</w:t>
      </w:r>
    </w:p>
    <w:p w14:paraId="7495F9D4" w14:textId="77777777" w:rsidR="00FE7868" w:rsidRPr="002F3761" w:rsidRDefault="00FE7868" w:rsidP="002F3761">
      <w:pPr>
        <w:contextualSpacing/>
        <w:rPr>
          <w:rFonts w:eastAsia="Calibri" w:cs="Times New Roman"/>
          <w:bCs/>
          <w:szCs w:val="24"/>
        </w:rPr>
      </w:pPr>
    </w:p>
    <w:p w14:paraId="389E2397" w14:textId="77777777" w:rsidR="009201C7" w:rsidRPr="002F3761" w:rsidRDefault="00A55A72" w:rsidP="002F3761">
      <w:pPr>
        <w:contextualSpacing/>
        <w:rPr>
          <w:rFonts w:eastAsia="Calibri" w:cs="Times New Roman"/>
          <w:bCs/>
          <w:szCs w:val="24"/>
        </w:rPr>
      </w:pPr>
      <w:r w:rsidRPr="002F3761">
        <w:rPr>
          <w:rFonts w:eastAsia="Calibri" w:cs="Times New Roman"/>
          <w:bCs/>
          <w:szCs w:val="24"/>
        </w:rPr>
        <w:t xml:space="preserve">A CRPD </w:t>
      </w:r>
      <w:r w:rsidR="00307143" w:rsidRPr="002F3761">
        <w:rPr>
          <w:rFonts w:eastAsia="Calibri" w:cs="Times New Roman"/>
          <w:bCs/>
          <w:szCs w:val="24"/>
        </w:rPr>
        <w:t xml:space="preserve">Bizottság </w:t>
      </w:r>
      <w:r w:rsidRPr="002F3761">
        <w:rPr>
          <w:rFonts w:eastAsia="Calibri" w:cs="Times New Roman"/>
          <w:bCs/>
          <w:szCs w:val="24"/>
        </w:rPr>
        <w:t>többször is arra hívta fel a CRPD részes államait, hogy az egészségügyi intézményekben fogvatartott fogyatékossággal élő személyek esetében hagyjanak fel a kötelezően alkalmazott kezelés, az elkülönítés, valamint a korlátozó intézkedések – ideértve a fizikai, kémiai és mechanikus korlátozásokat – gyakorlatával.</w:t>
      </w:r>
      <w:r w:rsidR="00307143" w:rsidRPr="002F3761">
        <w:rPr>
          <w:rStyle w:val="Lbjegyzet-hivatkozs"/>
          <w:rFonts w:eastAsia="Calibri" w:cs="Times New Roman"/>
          <w:bCs/>
          <w:szCs w:val="24"/>
        </w:rPr>
        <w:footnoteReference w:id="86"/>
      </w:r>
      <w:r w:rsidR="00685C6D" w:rsidRPr="002F3761">
        <w:rPr>
          <w:rFonts w:eastAsia="Calibri" w:cs="Times New Roman"/>
          <w:bCs/>
          <w:szCs w:val="24"/>
        </w:rPr>
        <w:t xml:space="preserve"> A CRPD Bizottság szerint ezek a gyakorlatok a CRPD</w:t>
      </w:r>
      <w:r w:rsidR="002A4830" w:rsidRPr="002F3761">
        <w:rPr>
          <w:rFonts w:eastAsia="Calibri" w:cs="Times New Roman"/>
          <w:bCs/>
          <w:szCs w:val="24"/>
        </w:rPr>
        <w:t xml:space="preserve"> –</w:t>
      </w:r>
      <w:r w:rsidR="00685C6D" w:rsidRPr="002F3761">
        <w:rPr>
          <w:rFonts w:eastAsia="Calibri" w:cs="Times New Roman"/>
          <w:bCs/>
          <w:szCs w:val="24"/>
        </w:rPr>
        <w:t xml:space="preserve"> </w:t>
      </w:r>
      <w:r w:rsidR="00081D1C" w:rsidRPr="002F3761">
        <w:rPr>
          <w:rFonts w:eastAsia="Calibri" w:cs="Times New Roman"/>
          <w:bCs/>
          <w:szCs w:val="24"/>
        </w:rPr>
        <w:t xml:space="preserve">a kínzás és más kegyetlen, embertelen vagy megalázó bánásmód vagy büntetés tilalmát előíró </w:t>
      </w:r>
      <w:r w:rsidR="002A4830" w:rsidRPr="002F3761">
        <w:rPr>
          <w:rFonts w:eastAsia="Calibri" w:cs="Times New Roman"/>
          <w:bCs/>
          <w:szCs w:val="24"/>
        </w:rPr>
        <w:t>– 15. cikkének sérelmét jelentik.</w:t>
      </w:r>
      <w:r w:rsidR="002A4830" w:rsidRPr="002F3761">
        <w:rPr>
          <w:rStyle w:val="Lbjegyzet-hivatkozs"/>
          <w:rFonts w:eastAsia="Calibri" w:cs="Times New Roman"/>
          <w:bCs/>
          <w:szCs w:val="24"/>
        </w:rPr>
        <w:footnoteReference w:id="87"/>
      </w:r>
    </w:p>
    <w:p w14:paraId="25C82F26" w14:textId="77777777" w:rsidR="009201C7" w:rsidRPr="002F3761" w:rsidRDefault="009201C7" w:rsidP="002F3761">
      <w:pPr>
        <w:contextualSpacing/>
        <w:rPr>
          <w:rFonts w:eastAsia="Calibri" w:cs="Times New Roman"/>
          <w:bCs/>
          <w:szCs w:val="24"/>
        </w:rPr>
      </w:pPr>
    </w:p>
    <w:p w14:paraId="0BC58FBD" w14:textId="1BA040D4" w:rsidR="008D252D" w:rsidRPr="002F3761" w:rsidRDefault="00A962C7" w:rsidP="002F3761">
      <w:pPr>
        <w:contextualSpacing/>
        <w:rPr>
          <w:rFonts w:cs="Times New Roman"/>
          <w:szCs w:val="24"/>
        </w:rPr>
      </w:pPr>
      <w:r w:rsidRPr="002F3761">
        <w:rPr>
          <w:rFonts w:eastAsia="Calibri" w:cs="Times New Roman"/>
          <w:bCs/>
          <w:szCs w:val="24"/>
        </w:rPr>
        <w:t>Ezt hangsúlyozza Manfred Nowak,</w:t>
      </w:r>
      <w:r w:rsidR="005E3630">
        <w:rPr>
          <w:rFonts w:eastAsia="Calibri" w:cs="Times New Roman"/>
          <w:bCs/>
          <w:szCs w:val="24"/>
        </w:rPr>
        <w:t xml:space="preserve"> amikor rámutatott, </w:t>
      </w:r>
      <w:r w:rsidR="008D252D" w:rsidRPr="002F3761">
        <w:rPr>
          <w:rFonts w:cs="Times New Roman"/>
          <w:szCs w:val="24"/>
        </w:rPr>
        <w:t xml:space="preserve">hogy a pszichiátriai intézményekben történő, az érintett személy szabad és tájékoztatáson alapuló belegyezése nélkül megvalósuló elhelyezés olyan fogva tartás, amely fogyatékosságon alapul, súlyos fájdalmat vagy szenvedést okozhat, és </w:t>
      </w:r>
      <w:proofErr w:type="gramStart"/>
      <w:r w:rsidR="008D252D" w:rsidRPr="002F3761">
        <w:rPr>
          <w:rFonts w:cs="Times New Roman"/>
          <w:szCs w:val="24"/>
        </w:rPr>
        <w:t>ezáltal</w:t>
      </w:r>
      <w:proofErr w:type="gramEnd"/>
      <w:r w:rsidR="008D252D" w:rsidRPr="002F3761">
        <w:rPr>
          <w:rFonts w:cs="Times New Roman"/>
          <w:szCs w:val="24"/>
        </w:rPr>
        <w:t xml:space="preserve"> a kínzás és más kegyetlen, embertelen vagy megalázó büntetések vagy bánásmódok elleni nemzetközi egyezmény</w:t>
      </w:r>
      <w:r w:rsidR="008D252D" w:rsidRPr="002F3761">
        <w:rPr>
          <w:rFonts w:cs="Times New Roman"/>
          <w:szCs w:val="24"/>
          <w:vertAlign w:val="superscript"/>
        </w:rPr>
        <w:footnoteReference w:id="88"/>
      </w:r>
      <w:r w:rsidR="008D252D" w:rsidRPr="002F3761">
        <w:rPr>
          <w:rFonts w:cs="Times New Roman"/>
          <w:szCs w:val="24"/>
        </w:rPr>
        <w:t xml:space="preserve"> </w:t>
      </w:r>
      <w:r w:rsidR="00D72E9F">
        <w:rPr>
          <w:rFonts w:cs="Times New Roman"/>
          <w:szCs w:val="24"/>
        </w:rPr>
        <w:t>h</w:t>
      </w:r>
      <w:r w:rsidR="008D252D" w:rsidRPr="002F3761">
        <w:rPr>
          <w:rFonts w:cs="Times New Roman"/>
          <w:szCs w:val="24"/>
        </w:rPr>
        <w:t>atálya alá eshet.</w:t>
      </w:r>
      <w:r w:rsidR="008D252D" w:rsidRPr="002F3761">
        <w:rPr>
          <w:rFonts w:cs="Times New Roman"/>
          <w:szCs w:val="24"/>
          <w:vertAlign w:val="superscript"/>
        </w:rPr>
        <w:footnoteReference w:id="89"/>
      </w:r>
      <w:r w:rsidR="008D252D" w:rsidRPr="002F3761">
        <w:rPr>
          <w:rFonts w:cs="Times New Roman"/>
          <w:szCs w:val="24"/>
        </w:rPr>
        <w:t xml:space="preserve"> A különleges jelentéstevő felhívta továbbá a független emberi jogi megfigyelőket, ide értve a nemzeti emberi jogi intézményeket és a nemzeti kínzás-megelőző mechanizmusokat, hogy rendszeresen ellenőrizzék azokat az intézményeket, ahol fogyatékossággal élő személyek </w:t>
      </w:r>
      <w:r w:rsidR="008D252D" w:rsidRPr="002F3761">
        <w:rPr>
          <w:rFonts w:cs="Times New Roman"/>
          <w:szCs w:val="24"/>
        </w:rPr>
        <w:lastRenderedPageBreak/>
        <w:t>tartózkodhatnak, mint például a pszichiátriai egészségügyi ellátást nyújtó intézményeket.</w:t>
      </w:r>
      <w:r w:rsidR="008D252D" w:rsidRPr="002F3761">
        <w:rPr>
          <w:rFonts w:cs="Times New Roman"/>
          <w:szCs w:val="24"/>
          <w:vertAlign w:val="superscript"/>
        </w:rPr>
        <w:footnoteReference w:id="90"/>
      </w:r>
      <w:r w:rsidR="003E0C44" w:rsidRPr="002F3761">
        <w:rPr>
          <w:rFonts w:cs="Times New Roman"/>
          <w:szCs w:val="24"/>
        </w:rPr>
        <w:t xml:space="preserve"> Az ilyen jellegű fogvatartási helyek monitorozásának kötelezettsége a CRPD előírásaiból is fakad.</w:t>
      </w:r>
      <w:r w:rsidR="003E0C44" w:rsidRPr="002F3761">
        <w:rPr>
          <w:rStyle w:val="Lbjegyzet-hivatkozs"/>
          <w:rFonts w:cs="Times New Roman"/>
          <w:szCs w:val="24"/>
        </w:rPr>
        <w:footnoteReference w:id="91"/>
      </w:r>
    </w:p>
    <w:p w14:paraId="3527EB5A" w14:textId="77777777" w:rsidR="00755BBE" w:rsidRDefault="00755BBE" w:rsidP="002F3761">
      <w:pPr>
        <w:rPr>
          <w:rFonts w:cs="Times New Roman"/>
          <w:szCs w:val="24"/>
        </w:rPr>
      </w:pPr>
    </w:p>
    <w:p w14:paraId="0FCA94DA" w14:textId="08CF98BB" w:rsidR="00B2155C" w:rsidRPr="00B2155C" w:rsidRDefault="00D33AFA" w:rsidP="00B2155C">
      <w:pPr>
        <w:rPr>
          <w:rFonts w:cs="Times New Roman"/>
          <w:bCs/>
          <w:i/>
          <w:szCs w:val="24"/>
        </w:rPr>
      </w:pPr>
      <w:r w:rsidRPr="00B2155C">
        <w:rPr>
          <w:rFonts w:cs="Times New Roman"/>
          <w:i/>
          <w:szCs w:val="24"/>
        </w:rPr>
        <w:t>Összegzésként az állapíthatjuk meg, hogy az ENSZ entitásai nem egységesek a</w:t>
      </w:r>
      <w:r w:rsidRPr="00B2155C">
        <w:rPr>
          <w:rFonts w:cs="Times New Roman"/>
          <w:bCs/>
          <w:i/>
          <w:szCs w:val="24"/>
        </w:rPr>
        <w:t xml:space="preserve"> nem-önkéntes intézeti elhelyezés és a nem-önkéntes gyógykezelés kérdésével kapcsolatos válaszok megfogalmazásában; az alapvető ellentét az ENSZ Emberi Jogi Bizottsága és a CRPD Bizottság között feszül. Az utóbbi testület, mint a CRPD autoritatív magyarázatát adó </w:t>
      </w:r>
      <w:r w:rsidR="00B2155C" w:rsidRPr="00B2155C">
        <w:rPr>
          <w:rFonts w:cs="Times New Roman"/>
          <w:bCs/>
          <w:i/>
          <w:szCs w:val="24"/>
        </w:rPr>
        <w:t>ENSZ bizottság, elutasít minden olyan jogi szabályozást és gyakorlatot, amely nem-önkéntes intézeti elhelyezést és nem-önkéntes kezelést valamely valós vagy vélt károsodás/fogyatékosság alapján tesz lehetővé.</w:t>
      </w:r>
    </w:p>
    <w:p w14:paraId="1F22F442" w14:textId="77777777" w:rsidR="00B2155C" w:rsidRDefault="00B2155C" w:rsidP="002F3761">
      <w:pPr>
        <w:rPr>
          <w:rFonts w:cs="Times New Roman"/>
          <w:b/>
          <w:szCs w:val="24"/>
        </w:rPr>
      </w:pPr>
    </w:p>
    <w:p w14:paraId="66E91CD8" w14:textId="5CD31625" w:rsidR="00873BE2" w:rsidRPr="000B427C" w:rsidRDefault="005C6999" w:rsidP="000B427C">
      <w:pPr>
        <w:pStyle w:val="Cmsor2"/>
        <w:rPr>
          <w:rFonts w:ascii="Times New Roman" w:hAnsi="Times New Roman" w:cs="Times New Roman"/>
          <w:color w:val="auto"/>
        </w:rPr>
      </w:pPr>
      <w:bookmarkStart w:id="16" w:name="_Toc451515106"/>
      <w:r w:rsidRPr="000B427C">
        <w:rPr>
          <w:rFonts w:ascii="Times New Roman" w:hAnsi="Times New Roman" w:cs="Times New Roman"/>
          <w:color w:val="auto"/>
        </w:rPr>
        <w:t>4</w:t>
      </w:r>
      <w:r w:rsidR="00873BE2" w:rsidRPr="000B427C">
        <w:rPr>
          <w:rFonts w:ascii="Times New Roman" w:hAnsi="Times New Roman" w:cs="Times New Roman"/>
          <w:color w:val="auto"/>
        </w:rPr>
        <w:t>.2. Az ENSZ Önkényes Fogvatartást Vizsgáló Munkacsoportja</w:t>
      </w:r>
      <w:bookmarkEnd w:id="16"/>
    </w:p>
    <w:p w14:paraId="18046E33" w14:textId="77777777" w:rsidR="00873BE2" w:rsidRPr="002F3761" w:rsidRDefault="00873BE2" w:rsidP="002F3761">
      <w:pPr>
        <w:rPr>
          <w:rFonts w:cs="Times New Roman"/>
          <w:szCs w:val="24"/>
        </w:rPr>
      </w:pPr>
    </w:p>
    <w:p w14:paraId="577C9D2E" w14:textId="77777777" w:rsidR="00F3430A" w:rsidRPr="002F3761" w:rsidRDefault="00F3430A" w:rsidP="002F3761">
      <w:pPr>
        <w:rPr>
          <w:rFonts w:cs="Times New Roman"/>
          <w:szCs w:val="24"/>
        </w:rPr>
      </w:pPr>
      <w:r w:rsidRPr="002F3761">
        <w:rPr>
          <w:rFonts w:cs="Times New Roman"/>
          <w:szCs w:val="24"/>
        </w:rPr>
        <w:t>Az ENSZ keretei között létrehozott Önkényes Fogvatartást Vizsgáló Munkacsoport</w:t>
      </w:r>
      <w:r w:rsidRPr="002F3761">
        <w:rPr>
          <w:rStyle w:val="Lbjegyzet-hivatkozs"/>
          <w:rFonts w:cs="Times New Roman"/>
          <w:szCs w:val="24"/>
        </w:rPr>
        <w:footnoteReference w:id="92"/>
      </w:r>
      <w:r w:rsidRPr="002F3761">
        <w:rPr>
          <w:rFonts w:cs="Times New Roman"/>
          <w:szCs w:val="24"/>
        </w:rPr>
        <w:t xml:space="preserve"> 2015. április 29-én fogadta el </w:t>
      </w:r>
      <w:r w:rsidR="00DF3DC7" w:rsidRPr="002F3761">
        <w:rPr>
          <w:rFonts w:cs="Times New Roman"/>
          <w:szCs w:val="24"/>
        </w:rPr>
        <w:t xml:space="preserve">a </w:t>
      </w:r>
      <w:r w:rsidR="00DF3DC7" w:rsidRPr="002F3761">
        <w:rPr>
          <w:rFonts w:cs="Times New Roman"/>
          <w:i/>
          <w:szCs w:val="24"/>
        </w:rPr>
        <w:t>Szabadságuktól letartóztatás vagy fogva tartás útján megfosztott személyek bíróság előtti eljárás indítási jogára vonatkozó jogorvoslatokról és eljárásokról szóló alapelvek és iránymutatások</w:t>
      </w:r>
      <w:r w:rsidR="00DF3DC7" w:rsidRPr="002F3761">
        <w:rPr>
          <w:rStyle w:val="Lbjegyzet-hivatkozs"/>
          <w:rFonts w:cs="Times New Roman"/>
          <w:szCs w:val="24"/>
        </w:rPr>
        <w:footnoteReference w:id="93"/>
      </w:r>
      <w:r w:rsidR="00DF3DC7" w:rsidRPr="002F3761">
        <w:rPr>
          <w:rFonts w:cs="Times New Roman"/>
          <w:szCs w:val="24"/>
        </w:rPr>
        <w:t xml:space="preserve"> című dokumentumának 20. számú Irány</w:t>
      </w:r>
      <w:r w:rsidR="00F366BB" w:rsidRPr="002F3761">
        <w:rPr>
          <w:rFonts w:cs="Times New Roman"/>
          <w:szCs w:val="24"/>
        </w:rPr>
        <w:t>mutatását, melyben hangsúlyozta:</w:t>
      </w:r>
      <w:r w:rsidR="00DF3DC7" w:rsidRPr="002F3761">
        <w:rPr>
          <w:rFonts w:cs="Times New Roman"/>
          <w:szCs w:val="24"/>
        </w:rPr>
        <w:t xml:space="preserve"> </w:t>
      </w:r>
    </w:p>
    <w:p w14:paraId="62A6E478" w14:textId="77777777" w:rsidR="00DF3DC7" w:rsidRPr="002F3761" w:rsidRDefault="00DF3DC7" w:rsidP="002F3761">
      <w:pPr>
        <w:rPr>
          <w:rFonts w:cs="Times New Roman"/>
          <w:szCs w:val="24"/>
        </w:rPr>
      </w:pPr>
    </w:p>
    <w:p w14:paraId="3797CBFA" w14:textId="6DE3C9B9" w:rsidR="001C5245" w:rsidRPr="002F3761" w:rsidRDefault="003C2FE7" w:rsidP="002F3761">
      <w:pPr>
        <w:ind w:left="708"/>
        <w:rPr>
          <w:rFonts w:cs="Times New Roman"/>
          <w:szCs w:val="24"/>
        </w:rPr>
      </w:pPr>
      <w:r w:rsidRPr="002F3761">
        <w:rPr>
          <w:rFonts w:cs="Times New Roman"/>
          <w:szCs w:val="24"/>
        </w:rPr>
        <w:t>„</w:t>
      </w:r>
      <w:r w:rsidR="001C5245" w:rsidRPr="002F3761">
        <w:rPr>
          <w:rFonts w:cs="Times New Roman"/>
          <w:szCs w:val="24"/>
        </w:rPr>
        <w:t>Azok</w:t>
      </w:r>
      <w:r w:rsidR="000C4D8E" w:rsidRPr="002F3761">
        <w:rPr>
          <w:rFonts w:cs="Times New Roman"/>
          <w:szCs w:val="24"/>
        </w:rPr>
        <w:t>at</w:t>
      </w:r>
      <w:r w:rsidR="001C5245" w:rsidRPr="002F3761">
        <w:rPr>
          <w:rFonts w:cs="Times New Roman"/>
          <w:szCs w:val="24"/>
        </w:rPr>
        <w:t xml:space="preserve"> a személyek</w:t>
      </w:r>
      <w:r w:rsidR="00D72E9F">
        <w:rPr>
          <w:rFonts w:cs="Times New Roman"/>
          <w:szCs w:val="24"/>
        </w:rPr>
        <w:t>et</w:t>
      </w:r>
      <w:r w:rsidR="001C5245" w:rsidRPr="002F3761">
        <w:rPr>
          <w:rFonts w:cs="Times New Roman"/>
          <w:szCs w:val="24"/>
        </w:rPr>
        <w:t>, akik</w:t>
      </w:r>
      <w:r w:rsidR="000C4D8E" w:rsidRPr="002F3761">
        <w:rPr>
          <w:rFonts w:cs="Times New Roman"/>
          <w:szCs w:val="24"/>
        </w:rPr>
        <w:t>et</w:t>
      </w:r>
      <w:r w:rsidR="001C5245" w:rsidRPr="002F3761">
        <w:rPr>
          <w:rFonts w:cs="Times New Roman"/>
          <w:szCs w:val="24"/>
        </w:rPr>
        <w:t xml:space="preserve"> jelenleg pszichiátriai kórházakban vagy hasonló intézményekben tart</w:t>
      </w:r>
      <w:r w:rsidR="000C4D8E" w:rsidRPr="002F3761">
        <w:rPr>
          <w:rFonts w:cs="Times New Roman"/>
          <w:szCs w:val="24"/>
        </w:rPr>
        <w:t>anak fogva</w:t>
      </w:r>
      <w:r w:rsidR="001C5245" w:rsidRPr="002F3761">
        <w:rPr>
          <w:rFonts w:cs="Times New Roman"/>
          <w:szCs w:val="24"/>
        </w:rPr>
        <w:t xml:space="preserve"> és/vagy </w:t>
      </w:r>
      <w:proofErr w:type="gramStart"/>
      <w:r w:rsidR="00D01DDB" w:rsidRPr="002F3761">
        <w:rPr>
          <w:rFonts w:cs="Times New Roman"/>
          <w:szCs w:val="24"/>
        </w:rPr>
        <w:t>nem-önkéntes</w:t>
      </w:r>
      <w:r w:rsidR="001C5245" w:rsidRPr="002F3761">
        <w:rPr>
          <w:rFonts w:cs="Times New Roman"/>
          <w:szCs w:val="24"/>
        </w:rPr>
        <w:t xml:space="preserve"> kezelésnek</w:t>
      </w:r>
      <w:proofErr w:type="gramEnd"/>
      <w:r w:rsidR="001C5245" w:rsidRPr="002F3761">
        <w:rPr>
          <w:rFonts w:cs="Times New Roman"/>
          <w:szCs w:val="24"/>
        </w:rPr>
        <w:t xml:space="preserve"> </w:t>
      </w:r>
      <w:r w:rsidR="000C4D8E" w:rsidRPr="002F3761">
        <w:rPr>
          <w:rFonts w:cs="Times New Roman"/>
          <w:szCs w:val="24"/>
        </w:rPr>
        <w:t>vetnek alá</w:t>
      </w:r>
      <w:r w:rsidR="001C5245" w:rsidRPr="002F3761">
        <w:rPr>
          <w:rFonts w:cs="Times New Roman"/>
          <w:szCs w:val="24"/>
        </w:rPr>
        <w:t xml:space="preserve">, vagy akiket ilyen módon tarthatnak fogva vagy kezelhetnek </w:t>
      </w:r>
      <w:r w:rsidR="00D01DDB" w:rsidRPr="002F3761">
        <w:rPr>
          <w:rFonts w:cs="Times New Roman"/>
          <w:szCs w:val="24"/>
        </w:rPr>
        <w:t>nem-önkéntes</w:t>
      </w:r>
      <w:r w:rsidR="001C5245" w:rsidRPr="002F3761">
        <w:rPr>
          <w:rFonts w:cs="Times New Roman"/>
          <w:szCs w:val="24"/>
        </w:rPr>
        <w:t xml:space="preserve"> jelleggel a jövőben, </w:t>
      </w:r>
      <w:r w:rsidR="000C4D8E" w:rsidRPr="002F3761">
        <w:rPr>
          <w:rFonts w:cs="Times New Roman"/>
          <w:szCs w:val="24"/>
        </w:rPr>
        <w:t>tájékoztatni</w:t>
      </w:r>
      <w:r w:rsidR="001C5245" w:rsidRPr="002F3761">
        <w:rPr>
          <w:rFonts w:cs="Times New Roman"/>
          <w:szCs w:val="24"/>
        </w:rPr>
        <w:t xml:space="preserve"> kell </w:t>
      </w:r>
      <w:r w:rsidR="002F19D6" w:rsidRPr="002F3761">
        <w:rPr>
          <w:rFonts w:cs="Times New Roman"/>
          <w:szCs w:val="24"/>
        </w:rPr>
        <w:t xml:space="preserve">egyrészről </w:t>
      </w:r>
      <w:r w:rsidR="001C5245" w:rsidRPr="002F3761">
        <w:rPr>
          <w:rFonts w:cs="Times New Roman"/>
          <w:szCs w:val="24"/>
        </w:rPr>
        <w:t>arról, hogy miként tud</w:t>
      </w:r>
      <w:r w:rsidR="000C4D8E" w:rsidRPr="002F3761">
        <w:rPr>
          <w:rFonts w:cs="Times New Roman"/>
          <w:szCs w:val="24"/>
        </w:rPr>
        <w:t>ják</w:t>
      </w:r>
      <w:r w:rsidR="001C5245" w:rsidRPr="002F3761">
        <w:rPr>
          <w:rFonts w:cs="Times New Roman"/>
          <w:szCs w:val="24"/>
        </w:rPr>
        <w:t xml:space="preserve"> </w:t>
      </w:r>
      <w:r w:rsidR="000C4D8E" w:rsidRPr="002F3761">
        <w:rPr>
          <w:rFonts w:cs="Times New Roman"/>
          <w:szCs w:val="24"/>
        </w:rPr>
        <w:t xml:space="preserve">szabadságukat </w:t>
      </w:r>
      <w:r w:rsidR="002F19D6" w:rsidRPr="002F3761">
        <w:rPr>
          <w:rFonts w:cs="Times New Roman"/>
          <w:szCs w:val="24"/>
        </w:rPr>
        <w:t xml:space="preserve">ténylegesen és azonnal </w:t>
      </w:r>
      <w:r w:rsidR="000C4D8E" w:rsidRPr="002F3761">
        <w:rPr>
          <w:rFonts w:cs="Times New Roman"/>
          <w:szCs w:val="24"/>
        </w:rPr>
        <w:t>visszaszerezni</w:t>
      </w:r>
      <w:r w:rsidR="002F19D6" w:rsidRPr="002F3761">
        <w:rPr>
          <w:rFonts w:cs="Times New Roman"/>
          <w:szCs w:val="24"/>
        </w:rPr>
        <w:t xml:space="preserve">, másrészről pedig arról, </w:t>
      </w:r>
      <w:r w:rsidR="00F3430A" w:rsidRPr="002F3761">
        <w:rPr>
          <w:rFonts w:cs="Times New Roman"/>
          <w:szCs w:val="24"/>
        </w:rPr>
        <w:t>hogy milyen</w:t>
      </w:r>
      <w:r w:rsidR="002F19D6" w:rsidRPr="002F3761">
        <w:rPr>
          <w:rFonts w:cs="Times New Roman"/>
          <w:szCs w:val="24"/>
        </w:rPr>
        <w:t xml:space="preserve"> erre irányuló gyorsított bírósági </w:t>
      </w:r>
      <w:r w:rsidR="00F3430A" w:rsidRPr="002F3761">
        <w:rPr>
          <w:rFonts w:cs="Times New Roman"/>
          <w:szCs w:val="24"/>
        </w:rPr>
        <w:t>eljárás</w:t>
      </w:r>
      <w:r w:rsidR="002F19D6" w:rsidRPr="002F3761">
        <w:rPr>
          <w:rFonts w:cs="Times New Roman"/>
          <w:szCs w:val="24"/>
        </w:rPr>
        <w:t xml:space="preserve"> biztosított a számukra.</w:t>
      </w:r>
      <w:r w:rsidRPr="002F3761">
        <w:rPr>
          <w:rFonts w:cs="Times New Roman"/>
          <w:szCs w:val="24"/>
        </w:rPr>
        <w:t>”</w:t>
      </w:r>
      <w:r w:rsidRPr="002F3761">
        <w:rPr>
          <w:rStyle w:val="Lbjegyzet-hivatkozs"/>
          <w:rFonts w:cs="Times New Roman"/>
          <w:szCs w:val="24"/>
        </w:rPr>
        <w:footnoteReference w:id="94"/>
      </w:r>
    </w:p>
    <w:p w14:paraId="5578FD60" w14:textId="77777777" w:rsidR="002F19D6" w:rsidRPr="002F3761" w:rsidRDefault="002F19D6" w:rsidP="002F3761">
      <w:pPr>
        <w:rPr>
          <w:rFonts w:cs="Times New Roman"/>
          <w:szCs w:val="24"/>
        </w:rPr>
      </w:pPr>
    </w:p>
    <w:p w14:paraId="1D9D37A0" w14:textId="77777777" w:rsidR="003C2FE7" w:rsidRPr="002F3761" w:rsidRDefault="00F3430A" w:rsidP="002F3761">
      <w:pPr>
        <w:rPr>
          <w:rFonts w:cs="Times New Roman"/>
          <w:szCs w:val="24"/>
        </w:rPr>
      </w:pPr>
      <w:r w:rsidRPr="002F3761">
        <w:rPr>
          <w:rFonts w:cs="Times New Roman"/>
          <w:szCs w:val="24"/>
        </w:rPr>
        <w:t>A</w:t>
      </w:r>
      <w:r w:rsidR="003C2FE7" w:rsidRPr="002F3761">
        <w:rPr>
          <w:rFonts w:cs="Times New Roman"/>
          <w:szCs w:val="24"/>
        </w:rPr>
        <w:t>z Önkényes Fogva tartást Vizsgáló Munkacsoport álláspontja szerint ezeknek a gyorsított bírósági eljárásoknak kettős céljuk van. E</w:t>
      </w:r>
      <w:r w:rsidR="000C4D8E" w:rsidRPr="002F3761">
        <w:rPr>
          <w:rFonts w:cs="Times New Roman"/>
          <w:szCs w:val="24"/>
        </w:rPr>
        <w:t>gyrészről olyan döntés</w:t>
      </w:r>
      <w:r w:rsidR="008C7835" w:rsidRPr="002F3761">
        <w:rPr>
          <w:rFonts w:cs="Times New Roman"/>
          <w:szCs w:val="24"/>
        </w:rPr>
        <w:t>t kell mag</w:t>
      </w:r>
      <w:r w:rsidR="003C2FE7" w:rsidRPr="002F3761">
        <w:rPr>
          <w:rFonts w:cs="Times New Roman"/>
          <w:szCs w:val="24"/>
        </w:rPr>
        <w:t>ukban foglalniuk</w:t>
      </w:r>
      <w:r w:rsidR="000C4D8E" w:rsidRPr="002F3761">
        <w:rPr>
          <w:rFonts w:cs="Times New Roman"/>
          <w:szCs w:val="24"/>
        </w:rPr>
        <w:t xml:space="preserve">, </w:t>
      </w:r>
      <w:r w:rsidR="003C2FE7" w:rsidRPr="002F3761">
        <w:rPr>
          <w:rFonts w:cs="Times New Roman"/>
          <w:szCs w:val="24"/>
        </w:rPr>
        <w:t>amely</w:t>
      </w:r>
    </w:p>
    <w:p w14:paraId="336BB03F" w14:textId="77777777" w:rsidR="003C2FE7" w:rsidRPr="002F3761" w:rsidRDefault="003C2FE7" w:rsidP="002F3761">
      <w:pPr>
        <w:pStyle w:val="Listaszerbekezds"/>
        <w:numPr>
          <w:ilvl w:val="0"/>
          <w:numId w:val="10"/>
        </w:numPr>
        <w:rPr>
          <w:rFonts w:cs="Times New Roman"/>
          <w:szCs w:val="24"/>
        </w:rPr>
      </w:pPr>
      <w:r w:rsidRPr="002F3761">
        <w:rPr>
          <w:rFonts w:cs="Times New Roman"/>
          <w:szCs w:val="24"/>
        </w:rPr>
        <w:t xml:space="preserve">arra kötelezi a fogvatartó létesítményeket, hogy </w:t>
      </w:r>
      <w:r w:rsidR="000C4D8E" w:rsidRPr="002F3761">
        <w:rPr>
          <w:rFonts w:cs="Times New Roman"/>
          <w:szCs w:val="24"/>
        </w:rPr>
        <w:t>az érintett</w:t>
      </w:r>
      <w:r w:rsidRPr="002F3761">
        <w:rPr>
          <w:rFonts w:cs="Times New Roman"/>
          <w:szCs w:val="24"/>
        </w:rPr>
        <w:t xml:space="preserve"> személyt haladéktalanul engedjék</w:t>
      </w:r>
      <w:r w:rsidR="000C4D8E" w:rsidRPr="002F3761">
        <w:rPr>
          <w:rFonts w:cs="Times New Roman"/>
          <w:szCs w:val="24"/>
        </w:rPr>
        <w:t xml:space="preserve"> szabadon és/vagy haladéktalanul szüntessen</w:t>
      </w:r>
      <w:r w:rsidRPr="002F3761">
        <w:rPr>
          <w:rFonts w:cs="Times New Roman"/>
          <w:szCs w:val="24"/>
        </w:rPr>
        <w:t>ek</w:t>
      </w:r>
      <w:r w:rsidR="000C4D8E" w:rsidRPr="002F3761">
        <w:rPr>
          <w:rFonts w:cs="Times New Roman"/>
          <w:szCs w:val="24"/>
        </w:rPr>
        <w:t xml:space="preserve"> meg minden </w:t>
      </w:r>
      <w:r w:rsidR="00D01DDB" w:rsidRPr="002F3761">
        <w:rPr>
          <w:rFonts w:cs="Times New Roman"/>
          <w:szCs w:val="24"/>
        </w:rPr>
        <w:t>nem-önkéntes</w:t>
      </w:r>
      <w:r w:rsidR="000C4D8E" w:rsidRPr="002F3761">
        <w:rPr>
          <w:rFonts w:cs="Times New Roman"/>
          <w:szCs w:val="24"/>
        </w:rPr>
        <w:t xml:space="preserve"> kezelést,</w:t>
      </w:r>
    </w:p>
    <w:p w14:paraId="4555206D" w14:textId="77777777" w:rsidR="003C2FE7" w:rsidRPr="002F3761" w:rsidRDefault="008C7835" w:rsidP="002F3761">
      <w:pPr>
        <w:pStyle w:val="Listaszerbekezds"/>
        <w:numPr>
          <w:ilvl w:val="0"/>
          <w:numId w:val="10"/>
        </w:numPr>
        <w:rPr>
          <w:rFonts w:cs="Times New Roman"/>
          <w:szCs w:val="24"/>
        </w:rPr>
      </w:pPr>
      <w:r w:rsidRPr="002F3761">
        <w:rPr>
          <w:rFonts w:cs="Times New Roman"/>
          <w:szCs w:val="24"/>
        </w:rPr>
        <w:t>rendszerszintű intézkedéseket tartalmaz, mint például, hogy az elme</w:t>
      </w:r>
      <w:r w:rsidR="003C2FE7" w:rsidRPr="002F3761">
        <w:rPr>
          <w:rFonts w:cs="Times New Roman"/>
          <w:szCs w:val="24"/>
        </w:rPr>
        <w:t>-</w:t>
      </w:r>
      <w:r w:rsidRPr="002F3761">
        <w:rPr>
          <w:rFonts w:cs="Times New Roman"/>
          <w:szCs w:val="24"/>
        </w:rPr>
        <w:t xml:space="preserve">egészségügyi intézmények </w:t>
      </w:r>
      <w:r w:rsidR="003C2FE7" w:rsidRPr="002F3761">
        <w:rPr>
          <w:rFonts w:cs="Times New Roman"/>
          <w:szCs w:val="24"/>
        </w:rPr>
        <w:t>szüntessék meg a zárt ajtós rendszert</w:t>
      </w:r>
      <w:r w:rsidRPr="002F3761">
        <w:rPr>
          <w:rFonts w:cs="Times New Roman"/>
          <w:szCs w:val="24"/>
        </w:rPr>
        <w:t xml:space="preserve"> és tájékoztassák az érintett személyeket arról, </w:t>
      </w:r>
      <w:r w:rsidR="003C2FE7" w:rsidRPr="002F3761">
        <w:rPr>
          <w:rFonts w:cs="Times New Roman"/>
          <w:szCs w:val="24"/>
        </w:rPr>
        <w:t>ho</w:t>
      </w:r>
      <w:r w:rsidRPr="002F3761">
        <w:rPr>
          <w:rFonts w:cs="Times New Roman"/>
          <w:szCs w:val="24"/>
        </w:rPr>
        <w:t>gy jo</w:t>
      </w:r>
      <w:r w:rsidR="003C2FE7" w:rsidRPr="002F3761">
        <w:rPr>
          <w:rFonts w:cs="Times New Roman"/>
          <w:szCs w:val="24"/>
        </w:rPr>
        <w:t>guk van az intézményt elhagyni.</w:t>
      </w:r>
      <w:r w:rsidR="003C2FE7" w:rsidRPr="002F3761">
        <w:rPr>
          <w:rStyle w:val="Lbjegyzet-hivatkozs"/>
          <w:rFonts w:cs="Times New Roman"/>
          <w:szCs w:val="24"/>
        </w:rPr>
        <w:footnoteReference w:id="95"/>
      </w:r>
    </w:p>
    <w:p w14:paraId="6DC9D0A2" w14:textId="77777777" w:rsidR="000C4D8E" w:rsidRPr="002F3761" w:rsidRDefault="003D49C2" w:rsidP="002F3761">
      <w:pPr>
        <w:rPr>
          <w:rFonts w:cs="Times New Roman"/>
          <w:szCs w:val="24"/>
        </w:rPr>
      </w:pPr>
      <w:r w:rsidRPr="002F3761">
        <w:rPr>
          <w:rFonts w:cs="Times New Roman"/>
          <w:szCs w:val="24"/>
        </w:rPr>
        <w:t>Az intézmény</w:t>
      </w:r>
      <w:r w:rsidR="00E93847">
        <w:rPr>
          <w:rFonts w:cs="Times New Roman"/>
          <w:szCs w:val="24"/>
        </w:rPr>
        <w:t>telenítés</w:t>
      </w:r>
      <w:r w:rsidRPr="002F3761">
        <w:rPr>
          <w:rFonts w:cs="Times New Roman"/>
          <w:szCs w:val="24"/>
        </w:rPr>
        <w:t xml:space="preserve"> </w:t>
      </w:r>
      <w:r w:rsidR="00F366BB" w:rsidRPr="002F3761">
        <w:rPr>
          <w:rFonts w:cs="Times New Roman"/>
          <w:szCs w:val="24"/>
        </w:rPr>
        <w:t xml:space="preserve">(deinstitutionalisation) </w:t>
      </w:r>
      <w:r w:rsidRPr="002F3761">
        <w:rPr>
          <w:rFonts w:cs="Times New Roman"/>
          <w:szCs w:val="24"/>
        </w:rPr>
        <w:t>valamint az ö</w:t>
      </w:r>
      <w:r w:rsidRPr="002F3761">
        <w:rPr>
          <w:rFonts w:cs="Times New Roman"/>
          <w:bCs/>
          <w:szCs w:val="24"/>
        </w:rPr>
        <w:t xml:space="preserve">nálló életvitelhez és a közösségbe való befogadáshoz való jog előmozdítása érdekében, e döntéseknek és folyamatoknak </w:t>
      </w:r>
      <w:r w:rsidR="003C2FE7" w:rsidRPr="002F3761">
        <w:rPr>
          <w:rFonts w:cs="Times New Roman"/>
          <w:szCs w:val="24"/>
        </w:rPr>
        <w:t>együtt kell járni</w:t>
      </w:r>
      <w:r w:rsidRPr="002F3761">
        <w:rPr>
          <w:rFonts w:cs="Times New Roman"/>
          <w:szCs w:val="24"/>
        </w:rPr>
        <w:t>uk</w:t>
      </w:r>
      <w:r w:rsidR="003C2FE7" w:rsidRPr="002F3761">
        <w:rPr>
          <w:rFonts w:cs="Times New Roman"/>
          <w:szCs w:val="24"/>
        </w:rPr>
        <w:t xml:space="preserve"> olyan hatóságok létrehoz</w:t>
      </w:r>
      <w:r w:rsidRPr="002F3761">
        <w:rPr>
          <w:rFonts w:cs="Times New Roman"/>
          <w:szCs w:val="24"/>
        </w:rPr>
        <w:t>ásával</w:t>
      </w:r>
      <w:r w:rsidR="008C7835" w:rsidRPr="002F3761">
        <w:rPr>
          <w:rFonts w:cs="Times New Roman"/>
          <w:szCs w:val="24"/>
        </w:rPr>
        <w:t>, amely</w:t>
      </w:r>
      <w:r w:rsidR="003C2FE7" w:rsidRPr="002F3761">
        <w:rPr>
          <w:rFonts w:cs="Times New Roman"/>
          <w:szCs w:val="24"/>
        </w:rPr>
        <w:t>ek</w:t>
      </w:r>
      <w:r w:rsidR="008C7835" w:rsidRPr="002F3761">
        <w:rPr>
          <w:rFonts w:cs="Times New Roman"/>
          <w:szCs w:val="24"/>
        </w:rPr>
        <w:t xml:space="preserve"> segíti</w:t>
      </w:r>
      <w:r w:rsidRPr="002F3761">
        <w:rPr>
          <w:rFonts w:cs="Times New Roman"/>
          <w:szCs w:val="24"/>
        </w:rPr>
        <w:t>k az érintett</w:t>
      </w:r>
      <w:r w:rsidR="008C7835" w:rsidRPr="002F3761">
        <w:rPr>
          <w:rFonts w:cs="Times New Roman"/>
          <w:szCs w:val="24"/>
        </w:rPr>
        <w:t xml:space="preserve"> személyeket a lakáshoz, a létfeltételekhez és </w:t>
      </w:r>
      <w:r w:rsidR="003C2FE7" w:rsidRPr="002F3761">
        <w:rPr>
          <w:rFonts w:cs="Times New Roman"/>
          <w:szCs w:val="24"/>
        </w:rPr>
        <w:t xml:space="preserve">egyéb </w:t>
      </w:r>
      <w:r w:rsidR="008C7835" w:rsidRPr="002F3761">
        <w:rPr>
          <w:rFonts w:cs="Times New Roman"/>
          <w:szCs w:val="24"/>
        </w:rPr>
        <w:t>gazdasági és szociális támogatáso</w:t>
      </w:r>
      <w:r w:rsidRPr="002F3761">
        <w:rPr>
          <w:rFonts w:cs="Times New Roman"/>
          <w:szCs w:val="24"/>
        </w:rPr>
        <w:t xml:space="preserve">khoz való hozzájutásban. Ezzel összefüggésben a Munkacsoport hangsúlyozza, hogy ezen támogatások ingyenes vagy megfizethető közösségi alapú szolgáltatások biztosítását kell, hogy jelentsék </w:t>
      </w:r>
      <w:r w:rsidRPr="002F3761">
        <w:rPr>
          <w:rFonts w:cs="Times New Roman"/>
          <w:szCs w:val="24"/>
        </w:rPr>
        <w:lastRenderedPageBreak/>
        <w:t>olyan alternatívák kidolgozásával, melyek nem orvosi diagnózisokra és beavatkozásokra épülnek.</w:t>
      </w:r>
      <w:r w:rsidRPr="002F3761">
        <w:rPr>
          <w:rStyle w:val="Lbjegyzet-hivatkozs"/>
          <w:rFonts w:cs="Times New Roman"/>
          <w:szCs w:val="24"/>
        </w:rPr>
        <w:footnoteReference w:id="96"/>
      </w:r>
      <w:r w:rsidRPr="002F3761">
        <w:rPr>
          <w:rFonts w:cs="Times New Roman"/>
          <w:szCs w:val="24"/>
        </w:rPr>
        <w:t xml:space="preserve"> </w:t>
      </w:r>
    </w:p>
    <w:p w14:paraId="7255CB4A" w14:textId="77777777" w:rsidR="00DE0471" w:rsidRPr="002F3761" w:rsidRDefault="00DE0471" w:rsidP="002F3761">
      <w:pPr>
        <w:rPr>
          <w:rFonts w:cs="Times New Roman"/>
          <w:szCs w:val="24"/>
        </w:rPr>
      </w:pPr>
    </w:p>
    <w:p w14:paraId="141467E5" w14:textId="70AE8842" w:rsidR="00B2155C" w:rsidRPr="00B2155C" w:rsidRDefault="00B2155C" w:rsidP="00B2155C">
      <w:pPr>
        <w:rPr>
          <w:rFonts w:cs="Times New Roman"/>
          <w:i/>
          <w:szCs w:val="24"/>
        </w:rPr>
      </w:pPr>
      <w:r w:rsidRPr="00B2155C">
        <w:rPr>
          <w:rFonts w:cs="Times New Roman"/>
          <w:i/>
          <w:szCs w:val="24"/>
        </w:rPr>
        <w:t>Az Önkényes Fogva tartást Vizsgáló Munkacsoport álláspontja tehát egyértelműen a CRPD Bizottság megközelítését veszi alapul és konkrét ajánlásokat is megfogalmaz annak érdekében, hogy az emberi jogi paradigma jusson érvényre.</w:t>
      </w:r>
      <w:r>
        <w:rPr>
          <w:rFonts w:cs="Times New Roman"/>
          <w:i/>
          <w:szCs w:val="24"/>
        </w:rPr>
        <w:t xml:space="preserve"> Ennek érdekében a</w:t>
      </w:r>
      <w:r w:rsidRPr="00B2155C">
        <w:rPr>
          <w:rFonts w:cs="Times New Roman"/>
          <w:i/>
          <w:szCs w:val="24"/>
        </w:rPr>
        <w:t xml:space="preserve"> Munkacsoport rámutat, hogy azon fogyatékossággal élő személyek számára, akiket önkényesen, illetve jogtalanul fosztottak meg szabadságuktól, kártérítést és egyéb reparációs megoldásokat kell nyújtani.</w:t>
      </w:r>
      <w:r w:rsidRPr="00B2155C">
        <w:rPr>
          <w:rFonts w:cs="Times New Roman"/>
          <w:i/>
          <w:szCs w:val="24"/>
          <w:vertAlign w:val="superscript"/>
        </w:rPr>
        <w:footnoteReference w:id="97"/>
      </w:r>
    </w:p>
    <w:p w14:paraId="13488BDA" w14:textId="77777777" w:rsidR="000C4D8E" w:rsidRDefault="000C4D8E" w:rsidP="002F3761">
      <w:pPr>
        <w:rPr>
          <w:rFonts w:cs="Times New Roman"/>
          <w:szCs w:val="24"/>
        </w:rPr>
      </w:pPr>
    </w:p>
    <w:p w14:paraId="0DE80662" w14:textId="510338B4" w:rsidR="00D33AFA" w:rsidRPr="000B427C" w:rsidRDefault="005C6999" w:rsidP="000B427C">
      <w:pPr>
        <w:pStyle w:val="Cmsor2"/>
        <w:rPr>
          <w:rFonts w:ascii="Times New Roman" w:hAnsi="Times New Roman" w:cs="Times New Roman"/>
          <w:color w:val="auto"/>
        </w:rPr>
      </w:pPr>
      <w:bookmarkStart w:id="17" w:name="_Toc451515107"/>
      <w:r w:rsidRPr="000B427C">
        <w:rPr>
          <w:rFonts w:ascii="Times New Roman" w:hAnsi="Times New Roman" w:cs="Times New Roman"/>
          <w:color w:val="auto"/>
        </w:rPr>
        <w:t>4</w:t>
      </w:r>
      <w:r w:rsidR="00D33AFA" w:rsidRPr="000B427C">
        <w:rPr>
          <w:rFonts w:ascii="Times New Roman" w:hAnsi="Times New Roman" w:cs="Times New Roman"/>
          <w:color w:val="auto"/>
        </w:rPr>
        <w:t>.3. Az Európa Tanács</w:t>
      </w:r>
      <w:bookmarkEnd w:id="17"/>
    </w:p>
    <w:p w14:paraId="1949A2B0" w14:textId="77777777" w:rsidR="00D33AFA" w:rsidRPr="002F3761" w:rsidRDefault="00D33AFA" w:rsidP="002F3761">
      <w:pPr>
        <w:rPr>
          <w:rFonts w:cs="Times New Roman"/>
          <w:szCs w:val="24"/>
        </w:rPr>
      </w:pPr>
    </w:p>
    <w:p w14:paraId="6129E2B1" w14:textId="77777777" w:rsidR="0099713D" w:rsidRPr="002F3761" w:rsidRDefault="0099713D" w:rsidP="002F3761">
      <w:pPr>
        <w:rPr>
          <w:rFonts w:cs="Times New Roman"/>
          <w:szCs w:val="24"/>
        </w:rPr>
      </w:pPr>
      <w:r w:rsidRPr="002F3761">
        <w:rPr>
          <w:rFonts w:cs="Times New Roman"/>
          <w:szCs w:val="24"/>
        </w:rPr>
        <w:t>Az Európa Tanács instrumentumai közül az Emberi Jogok Európai Egyezménye explicit módon lehetővé teszi, hogy az „elmebetegeket” jogszerűen megfosszák a szabadságuktól.</w:t>
      </w:r>
      <w:r w:rsidRPr="002F3761">
        <w:rPr>
          <w:rStyle w:val="Lbjegyzet-hivatkozs"/>
          <w:rFonts w:cs="Times New Roman"/>
          <w:szCs w:val="24"/>
        </w:rPr>
        <w:footnoteReference w:id="98"/>
      </w:r>
      <w:r w:rsidR="00AA70C3" w:rsidRPr="002F3761">
        <w:rPr>
          <w:rFonts w:cs="Times New Roman"/>
          <w:szCs w:val="24"/>
        </w:rPr>
        <w:t xml:space="preserve"> A</w:t>
      </w:r>
      <w:r w:rsidR="00D464B3" w:rsidRPr="002F3761">
        <w:rPr>
          <w:rFonts w:cs="Times New Roman"/>
          <w:szCs w:val="24"/>
        </w:rPr>
        <w:t xml:space="preserve">z Emberi Jogok Európai Bírósága a nem-önkéntes </w:t>
      </w:r>
      <w:r w:rsidR="00AA70C3" w:rsidRPr="002F3761">
        <w:rPr>
          <w:rFonts w:cs="Times New Roman"/>
          <w:szCs w:val="24"/>
        </w:rPr>
        <w:t>elhelyezéssel</w:t>
      </w:r>
      <w:r w:rsidR="00D464B3" w:rsidRPr="002F3761">
        <w:rPr>
          <w:rFonts w:cs="Times New Roman"/>
          <w:szCs w:val="24"/>
        </w:rPr>
        <w:t xml:space="preserve"> és </w:t>
      </w:r>
      <w:r w:rsidR="00AA70C3" w:rsidRPr="002F3761">
        <w:rPr>
          <w:rFonts w:cs="Times New Roman"/>
          <w:szCs w:val="24"/>
        </w:rPr>
        <w:t xml:space="preserve">– bár az Egyezmény nem tartalmaz explicit rendelkezést – a </w:t>
      </w:r>
      <w:r w:rsidR="00D01DDB" w:rsidRPr="002F3761">
        <w:rPr>
          <w:rFonts w:cs="Times New Roman"/>
          <w:szCs w:val="24"/>
        </w:rPr>
        <w:t xml:space="preserve">nem-önkéntes </w:t>
      </w:r>
      <w:r w:rsidR="00AA70C3" w:rsidRPr="002F3761">
        <w:rPr>
          <w:rFonts w:cs="Times New Roman"/>
          <w:szCs w:val="24"/>
        </w:rPr>
        <w:t xml:space="preserve">pszichiátriai kezeléssel kapcsolatosan </w:t>
      </w:r>
      <w:r w:rsidR="00D464B3" w:rsidRPr="002F3761">
        <w:rPr>
          <w:rFonts w:cs="Times New Roman"/>
          <w:szCs w:val="24"/>
        </w:rPr>
        <w:t>jelentős döntések sorát hozta már</w:t>
      </w:r>
      <w:r w:rsidR="00AA70C3" w:rsidRPr="002F3761">
        <w:rPr>
          <w:rFonts w:cs="Times New Roman"/>
          <w:szCs w:val="24"/>
        </w:rPr>
        <w:t xml:space="preserve"> meg.</w:t>
      </w:r>
      <w:r w:rsidR="00D464B3" w:rsidRPr="002F3761">
        <w:rPr>
          <w:rStyle w:val="Lbjegyzet-hivatkozs"/>
          <w:rFonts w:cs="Times New Roman"/>
          <w:szCs w:val="24"/>
        </w:rPr>
        <w:footnoteReference w:id="99"/>
      </w:r>
      <w:r w:rsidR="00AA70C3" w:rsidRPr="002F3761">
        <w:rPr>
          <w:rFonts w:cs="Times New Roman"/>
          <w:szCs w:val="24"/>
        </w:rPr>
        <w:t xml:space="preserve"> E döntések, valamint</w:t>
      </w:r>
      <w:r w:rsidR="00940008" w:rsidRPr="002F3761">
        <w:rPr>
          <w:rFonts w:cs="Times New Roman"/>
          <w:szCs w:val="24"/>
        </w:rPr>
        <w:t xml:space="preserve"> az Európa Tanács jogi kötőerővel bíró </w:t>
      </w:r>
      <w:r w:rsidR="007A7170" w:rsidRPr="002F3761">
        <w:rPr>
          <w:rFonts w:cs="Times New Roman"/>
          <w:szCs w:val="24"/>
        </w:rPr>
        <w:t>Ovideó</w:t>
      </w:r>
      <w:r w:rsidR="00940008" w:rsidRPr="002F3761">
        <w:rPr>
          <w:rFonts w:cs="Times New Roman"/>
          <w:szCs w:val="24"/>
        </w:rPr>
        <w:t>i Egyezményének</w:t>
      </w:r>
      <w:r w:rsidR="007A7170" w:rsidRPr="002F3761">
        <w:rPr>
          <w:rStyle w:val="Lbjegyzet-hivatkozs"/>
          <w:rFonts w:cs="Times New Roman"/>
          <w:szCs w:val="24"/>
        </w:rPr>
        <w:footnoteReference w:id="100"/>
      </w:r>
      <w:r w:rsidR="00940008" w:rsidRPr="002F3761">
        <w:rPr>
          <w:rFonts w:cs="Times New Roman"/>
          <w:szCs w:val="24"/>
        </w:rPr>
        <w:t xml:space="preserve"> </w:t>
      </w:r>
      <w:r w:rsidR="007A7170" w:rsidRPr="002F3761">
        <w:rPr>
          <w:rFonts w:cs="Times New Roman"/>
          <w:szCs w:val="24"/>
        </w:rPr>
        <w:t xml:space="preserve">6. és </w:t>
      </w:r>
      <w:r w:rsidR="00940008" w:rsidRPr="002F3761">
        <w:rPr>
          <w:rFonts w:cs="Times New Roman"/>
          <w:szCs w:val="24"/>
        </w:rPr>
        <w:t>7. cikke</w:t>
      </w:r>
      <w:r w:rsidR="00940008" w:rsidRPr="002F3761">
        <w:rPr>
          <w:rStyle w:val="Lbjegyzet-hivatkozs"/>
          <w:rFonts w:cs="Times New Roman"/>
          <w:szCs w:val="24"/>
        </w:rPr>
        <w:footnoteReference w:id="101"/>
      </w:r>
      <w:r w:rsidR="00940008" w:rsidRPr="002F3761">
        <w:rPr>
          <w:rFonts w:cs="Times New Roman"/>
          <w:szCs w:val="24"/>
        </w:rPr>
        <w:t xml:space="preserve"> a medikális paradigma talaján születtek, így szöges ellentétben állnak az ugyancsak jogi kötőerővel bíró CRPD által képviselt emberi jogi paradigmával.</w:t>
      </w:r>
    </w:p>
    <w:p w14:paraId="1EEA787E" w14:textId="77777777" w:rsidR="00026D0E" w:rsidRPr="002F3761" w:rsidRDefault="00026D0E" w:rsidP="002F3761">
      <w:pPr>
        <w:rPr>
          <w:rFonts w:cs="Times New Roman"/>
          <w:szCs w:val="24"/>
        </w:rPr>
      </w:pPr>
    </w:p>
    <w:p w14:paraId="241D4B99" w14:textId="77777777" w:rsidR="00026D0E" w:rsidRPr="002F3761" w:rsidRDefault="00026D0E" w:rsidP="002F3761">
      <w:pPr>
        <w:rPr>
          <w:rFonts w:cs="Times New Roman"/>
          <w:szCs w:val="24"/>
        </w:rPr>
      </w:pPr>
      <w:r w:rsidRPr="002F3761">
        <w:rPr>
          <w:rFonts w:cs="Times New Roman"/>
          <w:szCs w:val="24"/>
        </w:rPr>
        <w:t xml:space="preserve">A CRPD lencséjén keresztül tekintve az Emberi Jogok Európai Egyezményére és az Emberi Jogok Európai Bíróságának esetjogára, egy fontos észrevételt kell megfogalmaznunk. Az Emberi Jogok Európai Egyezményének elfogadása 1950-re datálódik és nem szabad úgy tekinteni </w:t>
      </w:r>
      <w:r w:rsidR="004862B5" w:rsidRPr="002F3761">
        <w:rPr>
          <w:rFonts w:cs="Times New Roman"/>
          <w:szCs w:val="24"/>
        </w:rPr>
        <w:t>rá,</w:t>
      </w:r>
      <w:r w:rsidRPr="002F3761">
        <w:rPr>
          <w:rFonts w:cs="Times New Roman"/>
          <w:szCs w:val="24"/>
        </w:rPr>
        <w:t xml:space="preserve"> mint egy statikus mértékre, hanem sokkal inkább, mint egy olyan egyezményre, amely „dinamikus interpretáció”</w:t>
      </w:r>
      <w:r w:rsidR="004862B5" w:rsidRPr="002F3761">
        <w:rPr>
          <w:rStyle w:val="Lbjegyzet-hivatkozs"/>
          <w:rFonts w:cs="Times New Roman"/>
          <w:szCs w:val="24"/>
        </w:rPr>
        <w:footnoteReference w:id="102"/>
      </w:r>
      <w:r w:rsidRPr="002F3761">
        <w:rPr>
          <w:rFonts w:cs="Times New Roman"/>
          <w:szCs w:val="24"/>
        </w:rPr>
        <w:t xml:space="preserve"> </w:t>
      </w:r>
      <w:r w:rsidR="004862B5" w:rsidRPr="002F3761">
        <w:rPr>
          <w:rFonts w:cs="Times New Roman"/>
          <w:szCs w:val="24"/>
        </w:rPr>
        <w:t xml:space="preserve">– így például a </w:t>
      </w:r>
      <w:r w:rsidR="001C2C0F" w:rsidRPr="002F3761">
        <w:rPr>
          <w:rFonts w:cs="Times New Roman"/>
          <w:szCs w:val="24"/>
        </w:rPr>
        <w:t xml:space="preserve">CRPD és a </w:t>
      </w:r>
      <w:r w:rsidR="004862B5" w:rsidRPr="002F3761">
        <w:rPr>
          <w:rFonts w:cs="Times New Roman"/>
          <w:szCs w:val="24"/>
        </w:rPr>
        <w:t>CRPD Bizottság megközelítése – alapján értelmezendő.</w:t>
      </w:r>
      <w:r w:rsidR="001C2C0F" w:rsidRPr="002F3761">
        <w:rPr>
          <w:rStyle w:val="Lbjegyzet-hivatkozs"/>
          <w:rFonts w:cs="Times New Roman"/>
          <w:szCs w:val="24"/>
        </w:rPr>
        <w:footnoteReference w:id="103"/>
      </w:r>
      <w:r w:rsidR="00DA7DF0" w:rsidRPr="002F3761">
        <w:rPr>
          <w:rFonts w:cs="Times New Roman"/>
          <w:szCs w:val="24"/>
        </w:rPr>
        <w:t xml:space="preserve"> </w:t>
      </w:r>
      <w:r w:rsidR="00BB49DE" w:rsidRPr="002F3761">
        <w:rPr>
          <w:rFonts w:cs="Times New Roman"/>
          <w:szCs w:val="24"/>
        </w:rPr>
        <w:t>Az</w:t>
      </w:r>
      <w:r w:rsidR="00EB6DCB" w:rsidRPr="002F3761">
        <w:rPr>
          <w:rFonts w:cs="Times New Roman"/>
          <w:szCs w:val="24"/>
        </w:rPr>
        <w:t xml:space="preserve"> ennek megfelelő „élő jog” doktrínáját az </w:t>
      </w:r>
      <w:r w:rsidR="00BB49DE" w:rsidRPr="002F3761">
        <w:rPr>
          <w:rFonts w:cs="Times New Roman"/>
          <w:szCs w:val="24"/>
        </w:rPr>
        <w:t xml:space="preserve">Emberi Jogok Európai </w:t>
      </w:r>
      <w:r w:rsidR="00BB49DE" w:rsidRPr="002F3761">
        <w:rPr>
          <w:rFonts w:cs="Times New Roman"/>
          <w:szCs w:val="24"/>
        </w:rPr>
        <w:lastRenderedPageBreak/>
        <w:t>Bírósága</w:t>
      </w:r>
      <w:r w:rsidR="00EB6DCB" w:rsidRPr="002F3761">
        <w:rPr>
          <w:rFonts w:cs="Times New Roman"/>
          <w:szCs w:val="24"/>
        </w:rPr>
        <w:t xml:space="preserve"> úgy fogalmazta meg</w:t>
      </w:r>
      <w:r w:rsidR="00BB49DE" w:rsidRPr="002F3761">
        <w:rPr>
          <w:rFonts w:cs="Times New Roman"/>
          <w:szCs w:val="24"/>
        </w:rPr>
        <w:t xml:space="preserve">, hogy az Emberi Jogok Európai Egyezménye egy „élő </w:t>
      </w:r>
      <w:r w:rsidR="00EB6DCB" w:rsidRPr="002F3761">
        <w:rPr>
          <w:rFonts w:cs="Times New Roman"/>
          <w:szCs w:val="24"/>
        </w:rPr>
        <w:t>instrumentum […] amelyet az aktuális körülményeknek megfelelően kell értelmezni.”</w:t>
      </w:r>
      <w:r w:rsidR="00EB6DCB" w:rsidRPr="002F3761">
        <w:rPr>
          <w:rStyle w:val="Lbjegyzet-hivatkozs"/>
          <w:rFonts w:cs="Times New Roman"/>
          <w:szCs w:val="24"/>
        </w:rPr>
        <w:footnoteReference w:id="104"/>
      </w:r>
    </w:p>
    <w:p w14:paraId="12E9ED8C" w14:textId="77777777" w:rsidR="00BB49DE" w:rsidRPr="002F3761" w:rsidRDefault="00BB49DE" w:rsidP="002F3761">
      <w:pPr>
        <w:rPr>
          <w:rFonts w:cs="Times New Roman"/>
          <w:szCs w:val="24"/>
        </w:rPr>
      </w:pPr>
    </w:p>
    <w:p w14:paraId="334AD9D8" w14:textId="1094C8C4" w:rsidR="00186018" w:rsidRPr="002F3761" w:rsidRDefault="00252E5D" w:rsidP="002F3761">
      <w:pPr>
        <w:rPr>
          <w:rFonts w:cs="Times New Roman"/>
          <w:szCs w:val="24"/>
        </w:rPr>
      </w:pPr>
      <w:r w:rsidRPr="002F3761">
        <w:rPr>
          <w:rFonts w:cs="Times New Roman"/>
          <w:szCs w:val="24"/>
        </w:rPr>
        <w:t>Az Európa Tanács Bioetikai Bizottsága (</w:t>
      </w:r>
      <w:r w:rsidR="002F7FE2" w:rsidRPr="002F3761">
        <w:rPr>
          <w:rFonts w:cs="Times New Roman"/>
          <w:szCs w:val="24"/>
        </w:rPr>
        <w:t xml:space="preserve">a továbbiakban: </w:t>
      </w:r>
      <w:r w:rsidRPr="002F3761">
        <w:rPr>
          <w:rFonts w:cs="Times New Roman"/>
          <w:szCs w:val="24"/>
        </w:rPr>
        <w:t xml:space="preserve">DH-BIO) </w:t>
      </w:r>
      <w:r w:rsidR="00940008" w:rsidRPr="002F3761">
        <w:rPr>
          <w:rFonts w:cs="Times New Roman"/>
          <w:szCs w:val="24"/>
        </w:rPr>
        <w:t>– többek között a</w:t>
      </w:r>
      <w:r w:rsidR="002F7FE2" w:rsidRPr="002F3761">
        <w:rPr>
          <w:rFonts w:cs="Times New Roman"/>
          <w:szCs w:val="24"/>
        </w:rPr>
        <w:t xml:space="preserve"> CPT </w:t>
      </w:r>
      <w:r w:rsidR="00940008" w:rsidRPr="002F3761">
        <w:rPr>
          <w:rFonts w:cs="Times New Roman"/>
          <w:szCs w:val="24"/>
        </w:rPr>
        <w:t>és az Európa Tanács Emberi Jogi Operatív Bizottsága</w:t>
      </w:r>
      <w:r w:rsidR="00940008" w:rsidRPr="002F3761">
        <w:rPr>
          <w:rStyle w:val="Lbjegyzet-hivatkozs"/>
          <w:rFonts w:cs="Times New Roman"/>
          <w:szCs w:val="24"/>
        </w:rPr>
        <w:footnoteReference w:id="105"/>
      </w:r>
      <w:r w:rsidR="00940008" w:rsidRPr="002F3761">
        <w:rPr>
          <w:rFonts w:cs="Times New Roman"/>
          <w:szCs w:val="24"/>
        </w:rPr>
        <w:t xml:space="preserve"> támogatásával – </w:t>
      </w:r>
      <w:r w:rsidRPr="002F3761">
        <w:rPr>
          <w:rFonts w:cs="Times New Roman"/>
          <w:szCs w:val="24"/>
        </w:rPr>
        <w:t xml:space="preserve">2013 óta dolgozik </w:t>
      </w:r>
      <w:r w:rsidR="00356ACC" w:rsidRPr="002F3761">
        <w:rPr>
          <w:rFonts w:cs="Times New Roman"/>
          <w:szCs w:val="24"/>
        </w:rPr>
        <w:t>egy, az Ovide</w:t>
      </w:r>
      <w:r w:rsidR="00643D6F" w:rsidRPr="002F3761">
        <w:rPr>
          <w:rFonts w:cs="Times New Roman"/>
          <w:szCs w:val="24"/>
        </w:rPr>
        <w:t>ó</w:t>
      </w:r>
      <w:r w:rsidR="00356ACC" w:rsidRPr="002F3761">
        <w:rPr>
          <w:rFonts w:cs="Times New Roman"/>
          <w:szCs w:val="24"/>
        </w:rPr>
        <w:t xml:space="preserve">i Egyezményhez kapcsolódó, a mentális rendellenességgel élő személyek </w:t>
      </w:r>
      <w:r w:rsidR="00D01DDB" w:rsidRPr="002F3761">
        <w:rPr>
          <w:rFonts w:cs="Times New Roman"/>
          <w:szCs w:val="24"/>
        </w:rPr>
        <w:t xml:space="preserve">nem-önkéntes </w:t>
      </w:r>
      <w:r w:rsidR="00356ACC" w:rsidRPr="002F3761">
        <w:rPr>
          <w:rFonts w:cs="Times New Roman"/>
          <w:szCs w:val="24"/>
        </w:rPr>
        <w:t xml:space="preserve">pszichiátriai elhelyezésével és </w:t>
      </w:r>
      <w:r w:rsidR="00D01DDB" w:rsidRPr="002F3761">
        <w:rPr>
          <w:rFonts w:cs="Times New Roman"/>
          <w:szCs w:val="24"/>
        </w:rPr>
        <w:t xml:space="preserve">nem-önkéntes </w:t>
      </w:r>
      <w:r w:rsidR="00356ACC" w:rsidRPr="002F3761">
        <w:rPr>
          <w:rFonts w:cs="Times New Roman"/>
          <w:szCs w:val="24"/>
        </w:rPr>
        <w:t>kezelésével foglalkozó kiegészítő jegyzőkönyv előkészítésén. E dokumentum szövegtervezetének 2015. évi nyilvános konzultációj</w:t>
      </w:r>
      <w:r w:rsidR="009466E0" w:rsidRPr="002F3761">
        <w:rPr>
          <w:rFonts w:cs="Times New Roman"/>
          <w:szCs w:val="24"/>
        </w:rPr>
        <w:t>a alatt</w:t>
      </w:r>
      <w:r w:rsidR="009466E0" w:rsidRPr="002F3761">
        <w:rPr>
          <w:rStyle w:val="Lbjegyzet-hivatkozs"/>
          <w:rFonts w:cs="Times New Roman"/>
          <w:szCs w:val="24"/>
        </w:rPr>
        <w:footnoteReference w:id="106"/>
      </w:r>
      <w:r w:rsidR="00356ACC" w:rsidRPr="002F3761">
        <w:rPr>
          <w:rFonts w:cs="Times New Roman"/>
          <w:szCs w:val="24"/>
        </w:rPr>
        <w:t xml:space="preserve"> több magas-szintű emberi jogi testület is aggodalmának adott hangot, mivel</w:t>
      </w:r>
      <w:r w:rsidR="002D6C4E" w:rsidRPr="002F3761">
        <w:rPr>
          <w:rFonts w:cs="Times New Roman"/>
          <w:szCs w:val="24"/>
        </w:rPr>
        <w:t xml:space="preserve"> e –</w:t>
      </w:r>
      <w:r w:rsidR="00356ACC" w:rsidRPr="002F3761">
        <w:rPr>
          <w:rFonts w:cs="Times New Roman"/>
          <w:szCs w:val="24"/>
        </w:rPr>
        <w:t xml:space="preserve"> </w:t>
      </w:r>
      <w:r w:rsidR="002D6C4E" w:rsidRPr="002F3761">
        <w:rPr>
          <w:rFonts w:cs="Times New Roman"/>
          <w:szCs w:val="24"/>
        </w:rPr>
        <w:t>hatályba lépése esetén</w:t>
      </w:r>
      <w:r w:rsidR="00356ACC" w:rsidRPr="002F3761">
        <w:rPr>
          <w:rFonts w:cs="Times New Roman"/>
          <w:szCs w:val="24"/>
        </w:rPr>
        <w:t xml:space="preserve"> jogi kötőerővel rendelkező </w:t>
      </w:r>
      <w:r w:rsidR="002D6C4E" w:rsidRPr="002F3761">
        <w:rPr>
          <w:rFonts w:cs="Times New Roman"/>
          <w:szCs w:val="24"/>
        </w:rPr>
        <w:t xml:space="preserve">– </w:t>
      </w:r>
      <w:r w:rsidR="00356ACC" w:rsidRPr="002F3761">
        <w:rPr>
          <w:rFonts w:cs="Times New Roman"/>
          <w:szCs w:val="24"/>
        </w:rPr>
        <w:t xml:space="preserve">dokumentum </w:t>
      </w:r>
      <w:r w:rsidR="002D6C4E" w:rsidRPr="002F3761">
        <w:rPr>
          <w:rFonts w:cs="Times New Roman"/>
          <w:szCs w:val="24"/>
        </w:rPr>
        <w:t>szembe megy a CRPD fent bemutatott és elemzett rendelkezéseivel, valamint a CRPD Bizottság, a</w:t>
      </w:r>
      <w:r w:rsidR="00186018" w:rsidRPr="002F3761">
        <w:rPr>
          <w:rFonts w:cs="Times New Roman"/>
          <w:szCs w:val="24"/>
        </w:rPr>
        <w:t>z</w:t>
      </w:r>
      <w:r w:rsidR="002D6C4E" w:rsidRPr="002F3761">
        <w:rPr>
          <w:rFonts w:cs="Times New Roman"/>
          <w:szCs w:val="24"/>
        </w:rPr>
        <w:t xml:space="preserve"> ENSZ fogyatékosságügyi különleges jelentéstevője</w:t>
      </w:r>
      <w:r w:rsidR="00186018" w:rsidRPr="002F3761">
        <w:rPr>
          <w:rFonts w:cs="Times New Roman"/>
          <w:szCs w:val="24"/>
        </w:rPr>
        <w:t xml:space="preserve"> és az ENSZ kínzás elleni küzdelemmel foglalkozó különleges jelentéstevője álláspontjával.</w:t>
      </w:r>
    </w:p>
    <w:p w14:paraId="5993FFF8" w14:textId="77777777" w:rsidR="008421F0" w:rsidRPr="002F3761" w:rsidRDefault="008421F0" w:rsidP="002F3761">
      <w:pPr>
        <w:rPr>
          <w:rFonts w:cs="Times New Roman"/>
          <w:szCs w:val="24"/>
        </w:rPr>
      </w:pPr>
    </w:p>
    <w:p w14:paraId="1DCFB865" w14:textId="77777777" w:rsidR="00186018" w:rsidRPr="002F3761" w:rsidRDefault="008421F0" w:rsidP="002F3761">
      <w:pPr>
        <w:rPr>
          <w:rFonts w:cs="Times New Roman"/>
          <w:szCs w:val="24"/>
        </w:rPr>
      </w:pPr>
      <w:r w:rsidRPr="002F3761">
        <w:rPr>
          <w:rFonts w:cs="Times New Roman"/>
          <w:szCs w:val="24"/>
        </w:rPr>
        <w:t>A kieg</w:t>
      </w:r>
      <w:r w:rsidR="00CF09A6" w:rsidRPr="002F3761">
        <w:rPr>
          <w:rFonts w:cs="Times New Roman"/>
          <w:szCs w:val="24"/>
        </w:rPr>
        <w:t>észítő jegyzőkönyv tervezetét – amely definiálná a „mentális rendellenességet”, kritériumrendszert állítana fel a nem-önkéntes pszichiátriai elhelyezés és kezelés alkalmazhatóságával összefüggésben, speciális jogokat biztosítana a mentális rendellenességgel élő személyek számára etc. – alapjaiban kritizálta Nils Muižnieks, az Európa Tanács Emberi Jogi Biztosa</w:t>
      </w:r>
      <w:r w:rsidR="007469D2" w:rsidRPr="002F3761">
        <w:rPr>
          <w:rFonts w:cs="Times New Roman"/>
          <w:szCs w:val="24"/>
        </w:rPr>
        <w:t xml:space="preserve"> is.</w:t>
      </w:r>
      <w:r w:rsidR="00CF09A6" w:rsidRPr="002F3761">
        <w:rPr>
          <w:rStyle w:val="Lbjegyzet-hivatkozs"/>
          <w:rFonts w:cs="Times New Roman"/>
          <w:szCs w:val="24"/>
        </w:rPr>
        <w:footnoteReference w:id="107"/>
      </w:r>
      <w:r w:rsidR="00CF09A6" w:rsidRPr="002F3761">
        <w:rPr>
          <w:rFonts w:cs="Times New Roman"/>
          <w:szCs w:val="24"/>
        </w:rPr>
        <w:t xml:space="preserve"> </w:t>
      </w:r>
      <w:r w:rsidR="007469D2" w:rsidRPr="002F3761">
        <w:rPr>
          <w:rFonts w:cs="Times New Roman"/>
          <w:szCs w:val="24"/>
        </w:rPr>
        <w:t>A</w:t>
      </w:r>
      <w:r w:rsidR="00CF09A6" w:rsidRPr="002F3761">
        <w:rPr>
          <w:rFonts w:cs="Times New Roman"/>
          <w:szCs w:val="24"/>
        </w:rPr>
        <w:t>z Európa Tanács Parlamenti Közgyűlése</w:t>
      </w:r>
      <w:r w:rsidR="007469D2" w:rsidRPr="002F3761">
        <w:rPr>
          <w:rFonts w:cs="Times New Roman"/>
          <w:szCs w:val="24"/>
        </w:rPr>
        <w:t xml:space="preserve"> pedig 2016. március 29-én arra kérte az Európa Tanács Miniszteri Bizottságát, utasítsa </w:t>
      </w:r>
      <w:r w:rsidR="00547DC9" w:rsidRPr="002F3761">
        <w:rPr>
          <w:rFonts w:cs="Times New Roman"/>
          <w:szCs w:val="24"/>
        </w:rPr>
        <w:t>a DH-BIO-t</w:t>
      </w:r>
      <w:r w:rsidR="007469D2" w:rsidRPr="002F3761">
        <w:rPr>
          <w:rFonts w:cs="Times New Roman"/>
          <w:szCs w:val="24"/>
        </w:rPr>
        <w:t xml:space="preserve">, hogy vonja vissza a mentális rendellenességgel élő személyek </w:t>
      </w:r>
      <w:r w:rsidR="00D01DDB" w:rsidRPr="002F3761">
        <w:rPr>
          <w:rFonts w:cs="Times New Roman"/>
          <w:szCs w:val="24"/>
        </w:rPr>
        <w:t xml:space="preserve">nem-önkéntes </w:t>
      </w:r>
      <w:r w:rsidR="007469D2" w:rsidRPr="002F3761">
        <w:rPr>
          <w:rFonts w:cs="Times New Roman"/>
          <w:szCs w:val="24"/>
        </w:rPr>
        <w:t xml:space="preserve">pszichiátriai elhelyezésével és </w:t>
      </w:r>
      <w:r w:rsidR="00D01DDB" w:rsidRPr="002F3761">
        <w:rPr>
          <w:rFonts w:cs="Times New Roman"/>
          <w:szCs w:val="24"/>
        </w:rPr>
        <w:t xml:space="preserve">nem-önkéntes </w:t>
      </w:r>
      <w:r w:rsidR="007469D2" w:rsidRPr="002F3761">
        <w:rPr>
          <w:rFonts w:cs="Times New Roman"/>
          <w:szCs w:val="24"/>
        </w:rPr>
        <w:t>kezelésével</w:t>
      </w:r>
      <w:r w:rsidR="00547DC9" w:rsidRPr="002F3761">
        <w:rPr>
          <w:rFonts w:cs="Times New Roman"/>
          <w:szCs w:val="24"/>
        </w:rPr>
        <w:t xml:space="preserve"> foglalkozó kiegészítő jegyzőkönyv előkészítésére irányuló javaslatát. Ezzel párhuzamosan a Parlamenti Közgyűlés azt kérte a Miniszteri Bizottságtól, utasítsa a DH-BIO-t, hogy munkája során inkább a</w:t>
      </w:r>
      <w:r w:rsidR="00D01DDB" w:rsidRPr="002F3761">
        <w:rPr>
          <w:rFonts w:cs="Times New Roman"/>
          <w:szCs w:val="24"/>
        </w:rPr>
        <w:t xml:space="preserve"> nem-önkéntes</w:t>
      </w:r>
      <w:r w:rsidR="00547DC9" w:rsidRPr="002F3761">
        <w:rPr>
          <w:rFonts w:cs="Times New Roman"/>
          <w:szCs w:val="24"/>
        </w:rPr>
        <w:t xml:space="preserve"> pszichiátriai elhelyezés és </w:t>
      </w:r>
      <w:r w:rsidR="00D01DDB" w:rsidRPr="002F3761">
        <w:rPr>
          <w:rFonts w:cs="Times New Roman"/>
          <w:szCs w:val="24"/>
        </w:rPr>
        <w:t xml:space="preserve">nem-önkéntes </w:t>
      </w:r>
      <w:r w:rsidR="00547DC9" w:rsidRPr="002F3761">
        <w:rPr>
          <w:rFonts w:cs="Times New Roman"/>
          <w:szCs w:val="24"/>
        </w:rPr>
        <w:t>kezelés alternatíváira koncentráljon és segítse elő az érintett személyek bevonását az őket érintő döntések meghozatalába.</w:t>
      </w:r>
      <w:r w:rsidR="00547DC9" w:rsidRPr="002F3761">
        <w:rPr>
          <w:rStyle w:val="Lbjegyzet-hivatkozs"/>
          <w:rFonts w:cs="Times New Roman"/>
          <w:szCs w:val="24"/>
        </w:rPr>
        <w:footnoteReference w:id="108"/>
      </w:r>
    </w:p>
    <w:p w14:paraId="44E1B25D" w14:textId="77777777" w:rsidR="00940008" w:rsidRPr="002F3761" w:rsidRDefault="00940008" w:rsidP="002F3761">
      <w:pPr>
        <w:rPr>
          <w:rFonts w:cs="Times New Roman"/>
          <w:szCs w:val="24"/>
        </w:rPr>
      </w:pPr>
    </w:p>
    <w:p w14:paraId="2184720E" w14:textId="4F5511E2" w:rsidR="007F2C75" w:rsidRPr="002F3761" w:rsidRDefault="009466E0" w:rsidP="002F3761">
      <w:pPr>
        <w:rPr>
          <w:rFonts w:cs="Times New Roman"/>
          <w:szCs w:val="24"/>
        </w:rPr>
      </w:pPr>
      <w:r w:rsidRPr="002F3761">
        <w:rPr>
          <w:rFonts w:cs="Times New Roman"/>
          <w:szCs w:val="24"/>
        </w:rPr>
        <w:t xml:space="preserve">Elgondolkodtató beadvány érkezett a kiegészítő jegyzőkönyv tervezetével kapcsolatosan Jonas Gunnarssontól, a Parlamenti Közgyűlés leszbikus, meleg, biszexuális és transznemű (LMBT) emberek jogainak Általános Jelentéstevőjétől, aki rámutatott arra, hogy a tervezet a mentális rendellenesség definíciója </w:t>
      </w:r>
      <w:proofErr w:type="gramStart"/>
      <w:r w:rsidRPr="002F3761">
        <w:rPr>
          <w:rFonts w:cs="Times New Roman"/>
          <w:szCs w:val="24"/>
        </w:rPr>
        <w:t>kapcsán</w:t>
      </w:r>
      <w:proofErr w:type="gramEnd"/>
      <w:r w:rsidRPr="002F3761">
        <w:rPr>
          <w:rFonts w:cs="Times New Roman"/>
          <w:szCs w:val="24"/>
        </w:rPr>
        <w:t xml:space="preserve"> ex</w:t>
      </w:r>
      <w:r w:rsidR="007F2C75" w:rsidRPr="002F3761">
        <w:rPr>
          <w:rFonts w:cs="Times New Roman"/>
          <w:szCs w:val="24"/>
        </w:rPr>
        <w:t>p</w:t>
      </w:r>
      <w:r w:rsidRPr="002F3761">
        <w:rPr>
          <w:rFonts w:cs="Times New Roman"/>
          <w:szCs w:val="24"/>
        </w:rPr>
        <w:t>licit</w:t>
      </w:r>
      <w:r w:rsidR="007F2C75" w:rsidRPr="002F3761">
        <w:rPr>
          <w:rFonts w:cs="Times New Roman"/>
          <w:szCs w:val="24"/>
        </w:rPr>
        <w:t xml:space="preserve"> módon</w:t>
      </w:r>
      <w:r w:rsidRPr="002F3761">
        <w:rPr>
          <w:rFonts w:cs="Times New Roman"/>
          <w:szCs w:val="24"/>
        </w:rPr>
        <w:t xml:space="preserve"> utal </w:t>
      </w:r>
      <w:r w:rsidR="007F2C75" w:rsidRPr="002F3761">
        <w:rPr>
          <w:rFonts w:cs="Times New Roman"/>
          <w:szCs w:val="24"/>
        </w:rPr>
        <w:t>az ENSZ Világegészségügyi Szervezete által kidolgozott diagnosztikus rendszerre, a Betegségek Nemzetközi Osztályozására (BNO-10)</w:t>
      </w:r>
      <w:r w:rsidR="007F2C75" w:rsidRPr="002F3761">
        <w:rPr>
          <w:rStyle w:val="Lbjegyzet-hivatkozs"/>
          <w:rFonts w:cs="Times New Roman"/>
          <w:szCs w:val="24"/>
        </w:rPr>
        <w:footnoteReference w:id="109"/>
      </w:r>
      <w:r w:rsidR="007F2C75" w:rsidRPr="002F3761">
        <w:rPr>
          <w:rFonts w:cs="Times New Roman"/>
          <w:szCs w:val="24"/>
        </w:rPr>
        <w:t>, mint nemzetközileg elfogadott orvosi standard alkalmazhatóságára a mentális rendellenesség diagnosztizálásával összefügg</w:t>
      </w:r>
      <w:r w:rsidR="001D1FC2">
        <w:rPr>
          <w:rFonts w:cs="Times New Roman"/>
          <w:szCs w:val="24"/>
        </w:rPr>
        <w:t>ésben</w:t>
      </w:r>
      <w:r w:rsidR="007F2C75" w:rsidRPr="002F3761">
        <w:rPr>
          <w:rFonts w:cs="Times New Roman"/>
          <w:szCs w:val="24"/>
        </w:rPr>
        <w:t xml:space="preserve">. A BNO-10 magában foglalja a „gender </w:t>
      </w:r>
      <w:r w:rsidR="00C74D5C" w:rsidRPr="002F3761">
        <w:rPr>
          <w:rFonts w:cs="Times New Roman"/>
          <w:szCs w:val="24"/>
        </w:rPr>
        <w:t>identitással</w:t>
      </w:r>
      <w:r w:rsidR="007F2C75" w:rsidRPr="002F3761">
        <w:rPr>
          <w:rFonts w:cs="Times New Roman"/>
          <w:szCs w:val="24"/>
        </w:rPr>
        <w:t xml:space="preserve"> kapcsolatos rendellenességeket” (F64), ily módon az LMBT emberek is érintettek lehetnek a </w:t>
      </w:r>
      <w:r w:rsidR="00D01DDB" w:rsidRPr="002F3761">
        <w:rPr>
          <w:rFonts w:cs="Times New Roman"/>
          <w:szCs w:val="24"/>
        </w:rPr>
        <w:t xml:space="preserve">nem-önkéntes </w:t>
      </w:r>
      <w:r w:rsidR="007F2C75" w:rsidRPr="002F3761">
        <w:rPr>
          <w:rFonts w:cs="Times New Roman"/>
          <w:szCs w:val="24"/>
        </w:rPr>
        <w:t>pszichiátriai elhelyezés</w:t>
      </w:r>
      <w:r w:rsidR="0089516C" w:rsidRPr="002F3761">
        <w:rPr>
          <w:rFonts w:cs="Times New Roman"/>
          <w:szCs w:val="24"/>
        </w:rPr>
        <w:t xml:space="preserve">sel és </w:t>
      </w:r>
      <w:r w:rsidR="00D01DDB" w:rsidRPr="002F3761">
        <w:rPr>
          <w:rFonts w:cs="Times New Roman"/>
          <w:szCs w:val="24"/>
        </w:rPr>
        <w:t>nem-</w:t>
      </w:r>
      <w:r w:rsidR="00D01DDB" w:rsidRPr="002F3761">
        <w:rPr>
          <w:rFonts w:cs="Times New Roman"/>
          <w:szCs w:val="24"/>
        </w:rPr>
        <w:lastRenderedPageBreak/>
        <w:t xml:space="preserve">önkéntes </w:t>
      </w:r>
      <w:r w:rsidR="0089516C" w:rsidRPr="002F3761">
        <w:rPr>
          <w:rFonts w:cs="Times New Roman"/>
          <w:szCs w:val="24"/>
        </w:rPr>
        <w:t>kezeléssel kapcsolatosan.</w:t>
      </w:r>
      <w:r w:rsidR="0089516C" w:rsidRPr="002F3761">
        <w:rPr>
          <w:rStyle w:val="Lbjegyzet-hivatkozs"/>
          <w:rFonts w:cs="Times New Roman"/>
          <w:szCs w:val="24"/>
        </w:rPr>
        <w:footnoteReference w:id="110"/>
      </w:r>
      <w:r w:rsidR="0089516C" w:rsidRPr="002F3761">
        <w:rPr>
          <w:rFonts w:cs="Times New Roman"/>
          <w:szCs w:val="24"/>
        </w:rPr>
        <w:t xml:space="preserve"> Az Általános Jelentéstevő a </w:t>
      </w:r>
      <w:r w:rsidR="00AB3B35" w:rsidRPr="002F3761">
        <w:rPr>
          <w:rFonts w:cs="Times New Roman"/>
          <w:szCs w:val="24"/>
        </w:rPr>
        <w:t>transznemű identitás depatologizációjára szólított fel, és</w:t>
      </w:r>
      <w:r w:rsidR="00C74D5C" w:rsidRPr="002F3761">
        <w:rPr>
          <w:rFonts w:cs="Times New Roman"/>
          <w:szCs w:val="24"/>
        </w:rPr>
        <w:t xml:space="preserve"> hangsúlyozta, hogy „gender identitással kapcsolatos rendellenességek” soha nem szolgálhatnak alapul nem-önkéntes pszichiátriai elhelyezéshez és nem-önkéntes kezeléshez.</w:t>
      </w:r>
      <w:r w:rsidR="00C74D5C" w:rsidRPr="002F3761">
        <w:rPr>
          <w:rStyle w:val="Lbjegyzet-hivatkozs"/>
          <w:rFonts w:cs="Times New Roman"/>
          <w:szCs w:val="24"/>
        </w:rPr>
        <w:footnoteReference w:id="111"/>
      </w:r>
    </w:p>
    <w:p w14:paraId="71183583" w14:textId="77777777" w:rsidR="007F2C75" w:rsidRDefault="007F2C75" w:rsidP="002F3761">
      <w:pPr>
        <w:rPr>
          <w:rFonts w:cs="Times New Roman"/>
          <w:szCs w:val="24"/>
        </w:rPr>
      </w:pPr>
    </w:p>
    <w:p w14:paraId="1D51BD6D" w14:textId="1DA0F727" w:rsidR="00B2155C" w:rsidRPr="00186B4C" w:rsidRDefault="00B2155C" w:rsidP="002F3761">
      <w:pPr>
        <w:rPr>
          <w:rFonts w:cs="Times New Roman"/>
          <w:i/>
          <w:szCs w:val="24"/>
        </w:rPr>
      </w:pPr>
      <w:r w:rsidRPr="00186B4C">
        <w:rPr>
          <w:rFonts w:cs="Times New Roman"/>
          <w:i/>
          <w:szCs w:val="24"/>
        </w:rPr>
        <w:t>Az Európa Tanács szintjén, csakúgy, mint az ENSZ entitásai között, nem található egységes megközelítés. Az Európa Tanács két jogi kötőerővel bíró dokumentuma, az Emberi Jogok Európai Egyezménye</w:t>
      </w:r>
      <w:r w:rsidR="00186B4C" w:rsidRPr="00186B4C">
        <w:rPr>
          <w:rFonts w:cs="Times New Roman"/>
          <w:i/>
          <w:szCs w:val="24"/>
        </w:rPr>
        <w:t xml:space="preserve"> és az Ovideói Egyezmény, valamint az Emberi Jogok Európai Bíróságának joggyakorlata nincs összhangban a szintén jogi kötőerővel bíró CRPD-vel. Mindemellett, az Európa Tanács több szintjén, így a Parlament</w:t>
      </w:r>
      <w:r w:rsidR="00D72E9F">
        <w:rPr>
          <w:rFonts w:cs="Times New Roman"/>
          <w:i/>
          <w:szCs w:val="24"/>
        </w:rPr>
        <w:t>i Közgyűlésben és az Emberi Jogi</w:t>
      </w:r>
      <w:r w:rsidR="00186B4C" w:rsidRPr="00186B4C">
        <w:rPr>
          <w:rFonts w:cs="Times New Roman"/>
          <w:i/>
          <w:szCs w:val="24"/>
        </w:rPr>
        <w:t xml:space="preserve"> Biztos Hivatalában is az emberi jogi paradigma felől közelítve foglalnak állást a </w:t>
      </w:r>
      <w:r w:rsidR="00186B4C" w:rsidRPr="00186B4C">
        <w:rPr>
          <w:rFonts w:cs="Times New Roman"/>
          <w:bCs/>
          <w:i/>
          <w:szCs w:val="24"/>
        </w:rPr>
        <w:t>nem-önkéntes intézeti elhelyezés és a nem-önkéntes gyógykezelés kérdésével összefüggésben.</w:t>
      </w:r>
    </w:p>
    <w:p w14:paraId="230C59B4" w14:textId="77777777" w:rsidR="00B2155C" w:rsidRDefault="00B2155C" w:rsidP="002F3761">
      <w:pPr>
        <w:rPr>
          <w:rFonts w:cs="Times New Roman"/>
          <w:szCs w:val="24"/>
        </w:rPr>
      </w:pPr>
    </w:p>
    <w:p w14:paraId="5D426DE2" w14:textId="2767B4F8" w:rsidR="00D33AFA" w:rsidRPr="000B427C" w:rsidRDefault="005C6999" w:rsidP="000B427C">
      <w:pPr>
        <w:pStyle w:val="Cmsor2"/>
        <w:rPr>
          <w:rFonts w:ascii="Times New Roman" w:hAnsi="Times New Roman" w:cs="Times New Roman"/>
          <w:color w:val="auto"/>
        </w:rPr>
      </w:pPr>
      <w:bookmarkStart w:id="18" w:name="_Toc451515108"/>
      <w:r w:rsidRPr="000B427C">
        <w:rPr>
          <w:rFonts w:ascii="Times New Roman" w:hAnsi="Times New Roman" w:cs="Times New Roman"/>
          <w:color w:val="auto"/>
        </w:rPr>
        <w:t>4</w:t>
      </w:r>
      <w:r w:rsidR="00D33AFA" w:rsidRPr="000B427C">
        <w:rPr>
          <w:rFonts w:ascii="Times New Roman" w:hAnsi="Times New Roman" w:cs="Times New Roman"/>
          <w:color w:val="auto"/>
        </w:rPr>
        <w:t>.4. Az Európai Unió</w:t>
      </w:r>
      <w:bookmarkEnd w:id="18"/>
    </w:p>
    <w:p w14:paraId="587E50A4" w14:textId="77777777" w:rsidR="00D33AFA" w:rsidRDefault="00D33AFA" w:rsidP="002F3761">
      <w:pPr>
        <w:rPr>
          <w:rFonts w:cs="Times New Roman"/>
          <w:szCs w:val="24"/>
        </w:rPr>
      </w:pPr>
    </w:p>
    <w:p w14:paraId="48C9C5CB" w14:textId="77777777" w:rsidR="004D04A5" w:rsidRPr="002F3761" w:rsidRDefault="003A0E8F" w:rsidP="002F3761">
      <w:pPr>
        <w:rPr>
          <w:rFonts w:cs="Times New Roman"/>
          <w:szCs w:val="24"/>
        </w:rPr>
      </w:pPr>
      <w:r w:rsidRPr="002F3761">
        <w:rPr>
          <w:rFonts w:cs="Times New Roman"/>
          <w:szCs w:val="24"/>
        </w:rPr>
        <w:t>A</w:t>
      </w:r>
      <w:r w:rsidR="00903CEF" w:rsidRPr="002F3761">
        <w:rPr>
          <w:rFonts w:cs="Times New Roman"/>
          <w:szCs w:val="24"/>
        </w:rPr>
        <w:t xml:space="preserve">z Európai Unió Alapjogi Chartájában foglalt </w:t>
      </w:r>
      <w:r w:rsidRPr="002F3761">
        <w:rPr>
          <w:rFonts w:cs="Times New Roman"/>
          <w:szCs w:val="24"/>
        </w:rPr>
        <w:t>alábbi jogok</w:t>
      </w:r>
      <w:r w:rsidR="00903CEF" w:rsidRPr="002F3761">
        <w:rPr>
          <w:rFonts w:cs="Times New Roman"/>
          <w:szCs w:val="24"/>
        </w:rPr>
        <w:t xml:space="preserve"> relevanciával </w:t>
      </w:r>
      <w:r w:rsidR="00E93847" w:rsidRPr="00E93847">
        <w:rPr>
          <w:rFonts w:cs="Times New Roman"/>
          <w:szCs w:val="24"/>
        </w:rPr>
        <w:t xml:space="preserve">bírnak </w:t>
      </w:r>
      <w:r w:rsidR="00903CEF" w:rsidRPr="002F3761">
        <w:rPr>
          <w:rFonts w:cs="Times New Roman"/>
          <w:szCs w:val="24"/>
        </w:rPr>
        <w:t>a</w:t>
      </w:r>
      <w:r w:rsidRPr="002F3761">
        <w:rPr>
          <w:rFonts w:cs="Times New Roman"/>
          <w:szCs w:val="24"/>
        </w:rPr>
        <w:t xml:space="preserve"> nem-önkéntes pszichiátriai elhelyezésekkel és a nem-önkéntes kezelésekkel </w:t>
      </w:r>
      <w:r w:rsidR="00903CEF" w:rsidRPr="002F3761">
        <w:rPr>
          <w:rFonts w:cs="Times New Roman"/>
          <w:szCs w:val="24"/>
        </w:rPr>
        <w:t>összefüggésben</w:t>
      </w:r>
      <w:r w:rsidRPr="002F3761">
        <w:rPr>
          <w:rFonts w:cs="Times New Roman"/>
          <w:szCs w:val="24"/>
        </w:rPr>
        <w:t>:</w:t>
      </w:r>
    </w:p>
    <w:p w14:paraId="7FB5E977" w14:textId="77777777" w:rsidR="003A0E8F" w:rsidRPr="002F3761" w:rsidRDefault="003A0E8F" w:rsidP="002F3761">
      <w:pPr>
        <w:pStyle w:val="Listaszerbekezds"/>
        <w:numPr>
          <w:ilvl w:val="0"/>
          <w:numId w:val="13"/>
        </w:numPr>
        <w:rPr>
          <w:rFonts w:cs="Times New Roman"/>
          <w:szCs w:val="24"/>
        </w:rPr>
      </w:pPr>
      <w:r w:rsidRPr="002F3761">
        <w:rPr>
          <w:rFonts w:cs="Times New Roman"/>
          <w:szCs w:val="24"/>
        </w:rPr>
        <w:t>a személyi sérthetetlenséghez való jog (3. cikk);</w:t>
      </w:r>
    </w:p>
    <w:p w14:paraId="00CA6994" w14:textId="77777777" w:rsidR="003A0E8F" w:rsidRPr="002F3761" w:rsidRDefault="003A0E8F" w:rsidP="002F3761">
      <w:pPr>
        <w:pStyle w:val="Listaszerbekezds"/>
        <w:numPr>
          <w:ilvl w:val="0"/>
          <w:numId w:val="13"/>
        </w:numPr>
        <w:rPr>
          <w:rFonts w:cs="Times New Roman"/>
          <w:szCs w:val="24"/>
        </w:rPr>
      </w:pPr>
      <w:r w:rsidRPr="002F3761">
        <w:rPr>
          <w:rFonts w:cs="Times New Roman"/>
          <w:szCs w:val="24"/>
        </w:rPr>
        <w:t>a kínzás és az embertelen vagy megalázó bánásmód és büntetés tilalma (4. cikk);</w:t>
      </w:r>
    </w:p>
    <w:p w14:paraId="7041033E" w14:textId="77777777" w:rsidR="003A0E8F" w:rsidRPr="002F3761" w:rsidRDefault="003A0E8F" w:rsidP="002F3761">
      <w:pPr>
        <w:pStyle w:val="Listaszerbekezds"/>
        <w:numPr>
          <w:ilvl w:val="0"/>
          <w:numId w:val="13"/>
        </w:numPr>
        <w:rPr>
          <w:rFonts w:cs="Times New Roman"/>
          <w:szCs w:val="24"/>
        </w:rPr>
      </w:pPr>
      <w:r w:rsidRPr="002F3761">
        <w:rPr>
          <w:rFonts w:cs="Times New Roman"/>
          <w:szCs w:val="24"/>
        </w:rPr>
        <w:t>a szabadsághoz és biztonsághoz való jog (6. cikk);</w:t>
      </w:r>
    </w:p>
    <w:p w14:paraId="09264F60" w14:textId="77777777" w:rsidR="003A0E8F" w:rsidRPr="002F3761" w:rsidRDefault="003A0E8F" w:rsidP="002F3761">
      <w:pPr>
        <w:pStyle w:val="Listaszerbekezds"/>
        <w:numPr>
          <w:ilvl w:val="0"/>
          <w:numId w:val="13"/>
        </w:numPr>
        <w:rPr>
          <w:rFonts w:cs="Times New Roman"/>
          <w:szCs w:val="24"/>
        </w:rPr>
      </w:pPr>
      <w:r w:rsidRPr="002F3761">
        <w:rPr>
          <w:rFonts w:cs="Times New Roman"/>
          <w:szCs w:val="24"/>
        </w:rPr>
        <w:t>a magán- és a családi élet tiszteletben tartása (7. cikk);</w:t>
      </w:r>
    </w:p>
    <w:p w14:paraId="1DBFB978" w14:textId="77777777" w:rsidR="003A0E8F" w:rsidRPr="002F3761" w:rsidRDefault="003A0E8F" w:rsidP="002F3761">
      <w:pPr>
        <w:pStyle w:val="Listaszerbekezds"/>
        <w:numPr>
          <w:ilvl w:val="0"/>
          <w:numId w:val="13"/>
        </w:numPr>
        <w:rPr>
          <w:rFonts w:cs="Times New Roman"/>
          <w:szCs w:val="24"/>
        </w:rPr>
      </w:pPr>
      <w:r w:rsidRPr="002F3761">
        <w:rPr>
          <w:rFonts w:cs="Times New Roman"/>
          <w:szCs w:val="24"/>
        </w:rPr>
        <w:t>a megkülönböztetés tilalma (21. cikk);</w:t>
      </w:r>
    </w:p>
    <w:p w14:paraId="5F3AEEC8" w14:textId="77777777" w:rsidR="003A0E8F" w:rsidRPr="002F3761" w:rsidRDefault="003A0E8F" w:rsidP="002F3761">
      <w:pPr>
        <w:pStyle w:val="Listaszerbekezds"/>
        <w:numPr>
          <w:ilvl w:val="0"/>
          <w:numId w:val="13"/>
        </w:numPr>
        <w:rPr>
          <w:rFonts w:cs="Times New Roman"/>
          <w:szCs w:val="24"/>
        </w:rPr>
      </w:pPr>
      <w:r w:rsidRPr="002F3761">
        <w:rPr>
          <w:rFonts w:cs="Times New Roman"/>
          <w:szCs w:val="24"/>
        </w:rPr>
        <w:t>a fogyatékossággal élő személyek beilleszkedése (26. cikk);</w:t>
      </w:r>
    </w:p>
    <w:p w14:paraId="72E765B7" w14:textId="77777777" w:rsidR="003A0E8F" w:rsidRPr="002F3761" w:rsidRDefault="003A0E8F" w:rsidP="002F3761">
      <w:pPr>
        <w:pStyle w:val="Listaszerbekezds"/>
        <w:numPr>
          <w:ilvl w:val="0"/>
          <w:numId w:val="13"/>
        </w:numPr>
        <w:rPr>
          <w:rFonts w:cs="Times New Roman"/>
          <w:szCs w:val="24"/>
        </w:rPr>
      </w:pPr>
      <w:r w:rsidRPr="002F3761">
        <w:rPr>
          <w:rFonts w:cs="Times New Roman"/>
          <w:szCs w:val="24"/>
        </w:rPr>
        <w:t>egészségvédelem (35. cikk).</w:t>
      </w:r>
    </w:p>
    <w:p w14:paraId="32360F5F" w14:textId="77777777" w:rsidR="00D51C4C" w:rsidRPr="002F3761" w:rsidRDefault="00D51C4C" w:rsidP="002F3761">
      <w:pPr>
        <w:rPr>
          <w:rFonts w:cs="Times New Roman"/>
          <w:szCs w:val="24"/>
        </w:rPr>
      </w:pPr>
    </w:p>
    <w:p w14:paraId="5EF88CF2" w14:textId="77777777" w:rsidR="00A220A5" w:rsidRPr="002F3761" w:rsidRDefault="00443226" w:rsidP="002F3761">
      <w:pPr>
        <w:rPr>
          <w:rFonts w:cs="Times New Roman"/>
          <w:szCs w:val="24"/>
        </w:rPr>
      </w:pPr>
      <w:r w:rsidRPr="002F3761">
        <w:rPr>
          <w:rFonts w:cs="Times New Roman"/>
          <w:szCs w:val="24"/>
        </w:rPr>
        <w:t xml:space="preserve">Miután az EU 2010 decemberében csatlakozott a CRPD-hez, </w:t>
      </w:r>
      <w:r w:rsidR="00D51C4C" w:rsidRPr="002F3761">
        <w:rPr>
          <w:rFonts w:cs="Times New Roman"/>
          <w:szCs w:val="24"/>
        </w:rPr>
        <w:t>a fenti jogokat a CRPD-ben foglalt rendelkezések figyelembevételével kell biztosítania</w:t>
      </w:r>
      <w:r w:rsidR="00383C7D" w:rsidRPr="002F3761">
        <w:rPr>
          <w:rFonts w:cs="Times New Roman"/>
          <w:szCs w:val="24"/>
        </w:rPr>
        <w:t xml:space="preserve"> – a kompetenciahatárai között</w:t>
      </w:r>
      <w:r w:rsidR="00D51C4C" w:rsidRPr="002F3761">
        <w:rPr>
          <w:rFonts w:cs="Times New Roman"/>
          <w:szCs w:val="24"/>
        </w:rPr>
        <w:t xml:space="preserve"> </w:t>
      </w:r>
      <w:r w:rsidR="00383C7D" w:rsidRPr="002F3761">
        <w:rPr>
          <w:rFonts w:cs="Times New Roman"/>
          <w:szCs w:val="24"/>
        </w:rPr>
        <w:t xml:space="preserve">– </w:t>
      </w:r>
      <w:r w:rsidR="00D51C4C" w:rsidRPr="002F3761">
        <w:rPr>
          <w:rFonts w:cs="Times New Roman"/>
          <w:szCs w:val="24"/>
        </w:rPr>
        <w:t>minden pszichoszociális fogyatékossággal élő személy számára</w:t>
      </w:r>
      <w:r w:rsidR="00383C7D" w:rsidRPr="002F3761">
        <w:rPr>
          <w:rFonts w:cs="Times New Roman"/>
          <w:szCs w:val="24"/>
        </w:rPr>
        <w:t xml:space="preserve">. </w:t>
      </w:r>
      <w:r w:rsidR="00383C7D" w:rsidRPr="005C6999">
        <w:rPr>
          <w:rFonts w:cs="Times New Roman"/>
          <w:i/>
          <w:szCs w:val="24"/>
        </w:rPr>
        <w:t>A</w:t>
      </w:r>
      <w:r w:rsidR="00903CEF" w:rsidRPr="005C6999">
        <w:rPr>
          <w:rFonts w:cs="Times New Roman"/>
          <w:i/>
          <w:szCs w:val="24"/>
        </w:rPr>
        <w:t xml:space="preserve"> FRA</w:t>
      </w:r>
      <w:r w:rsidR="00383C7D" w:rsidRPr="005C6999">
        <w:rPr>
          <w:rFonts w:cs="Times New Roman"/>
          <w:i/>
          <w:szCs w:val="24"/>
        </w:rPr>
        <w:t xml:space="preserve"> a mentális egészségi problémákkal élő személyek </w:t>
      </w:r>
      <w:r w:rsidR="00D01DDB" w:rsidRPr="005C6999">
        <w:rPr>
          <w:rFonts w:cs="Times New Roman"/>
          <w:i/>
          <w:szCs w:val="24"/>
        </w:rPr>
        <w:t xml:space="preserve">nem-önkéntes </w:t>
      </w:r>
      <w:r w:rsidR="00383C7D" w:rsidRPr="005C6999">
        <w:rPr>
          <w:rFonts w:cs="Times New Roman"/>
          <w:i/>
          <w:szCs w:val="24"/>
        </w:rPr>
        <w:t xml:space="preserve">pszichiátriai elhelyezésével és </w:t>
      </w:r>
      <w:r w:rsidR="00D01DDB" w:rsidRPr="005C6999">
        <w:rPr>
          <w:rFonts w:cs="Times New Roman"/>
          <w:i/>
          <w:szCs w:val="24"/>
        </w:rPr>
        <w:t xml:space="preserve">nem-önkéntes </w:t>
      </w:r>
      <w:r w:rsidR="00383C7D" w:rsidRPr="005C6999">
        <w:rPr>
          <w:rFonts w:cs="Times New Roman"/>
          <w:i/>
          <w:szCs w:val="24"/>
        </w:rPr>
        <w:t>gyógykezelésével foglalkozó tanulmányában felhívta a figyelmet arra, hogy minden EU tagállamnak harmonizálnia kell nemzeti jogi szabályozását a CRPD-vel.</w:t>
      </w:r>
      <w:r w:rsidR="00383C7D" w:rsidRPr="005C6999">
        <w:rPr>
          <w:rStyle w:val="Lbjegyzet-hivatkozs"/>
          <w:rFonts w:cs="Times New Roman"/>
          <w:i/>
          <w:szCs w:val="24"/>
        </w:rPr>
        <w:footnoteReference w:id="112"/>
      </w:r>
    </w:p>
    <w:p w14:paraId="20CBD97B" w14:textId="77777777" w:rsidR="005C6999" w:rsidRDefault="005C6999" w:rsidP="002F3761">
      <w:pPr>
        <w:rPr>
          <w:rFonts w:cs="Times New Roman"/>
          <w:szCs w:val="24"/>
        </w:rPr>
      </w:pPr>
    </w:p>
    <w:p w14:paraId="46220884" w14:textId="2FE289C3" w:rsidR="00D33AFA" w:rsidRPr="000B427C" w:rsidRDefault="005C6999" w:rsidP="000B427C">
      <w:pPr>
        <w:pStyle w:val="Cmsor2"/>
        <w:rPr>
          <w:rFonts w:ascii="Times New Roman" w:hAnsi="Times New Roman" w:cs="Times New Roman"/>
          <w:color w:val="auto"/>
        </w:rPr>
      </w:pPr>
      <w:bookmarkStart w:id="19" w:name="_Toc451515109"/>
      <w:r w:rsidRPr="000B427C">
        <w:rPr>
          <w:rFonts w:ascii="Times New Roman" w:hAnsi="Times New Roman" w:cs="Times New Roman"/>
          <w:color w:val="auto"/>
        </w:rPr>
        <w:t>4</w:t>
      </w:r>
      <w:r w:rsidR="00D33AFA" w:rsidRPr="000B427C">
        <w:rPr>
          <w:rFonts w:ascii="Times New Roman" w:hAnsi="Times New Roman" w:cs="Times New Roman"/>
          <w:color w:val="auto"/>
        </w:rPr>
        <w:t>.5. Összegzés</w:t>
      </w:r>
      <w:bookmarkEnd w:id="19"/>
    </w:p>
    <w:p w14:paraId="5C909CE9" w14:textId="77777777" w:rsidR="005C6999" w:rsidRDefault="005C6999" w:rsidP="002F3761">
      <w:pPr>
        <w:contextualSpacing/>
        <w:rPr>
          <w:rFonts w:cs="Times New Roman"/>
          <w:i/>
          <w:szCs w:val="24"/>
        </w:rPr>
      </w:pPr>
    </w:p>
    <w:p w14:paraId="4DB9B14A" w14:textId="77777777" w:rsidR="000A749F" w:rsidRPr="005C6999" w:rsidRDefault="000A749F" w:rsidP="002F3761">
      <w:pPr>
        <w:contextualSpacing/>
        <w:rPr>
          <w:rFonts w:eastAsia="Calibri" w:cs="Times New Roman"/>
          <w:bCs/>
          <w:szCs w:val="24"/>
        </w:rPr>
      </w:pPr>
      <w:r w:rsidRPr="005C6999">
        <w:rPr>
          <w:rFonts w:cs="Times New Roman"/>
          <w:szCs w:val="24"/>
        </w:rPr>
        <w:t xml:space="preserve">Összegzésként azt mondhatjuk, hogy </w:t>
      </w:r>
      <w:r w:rsidRPr="005C6999">
        <w:rPr>
          <w:rFonts w:eastAsia="Calibri" w:cs="Times New Roman"/>
          <w:bCs/>
          <w:szCs w:val="24"/>
        </w:rPr>
        <w:t>a nem-önkéntes pszichiátriai elhelyezés és a nem-önkéntes kezelés emberi jogi paradigma alapú vizsgálata – amint arra fentebb rámutattunk – két komponensből épül fel:</w:t>
      </w:r>
    </w:p>
    <w:p w14:paraId="67D34417" w14:textId="77777777" w:rsidR="000A749F" w:rsidRPr="005C6999" w:rsidRDefault="002C1D0B" w:rsidP="002F3761">
      <w:pPr>
        <w:pStyle w:val="Listaszerbekezds"/>
        <w:numPr>
          <w:ilvl w:val="0"/>
          <w:numId w:val="17"/>
        </w:numPr>
        <w:rPr>
          <w:rFonts w:eastAsia="Calibri" w:cs="Times New Roman"/>
          <w:bCs/>
          <w:szCs w:val="24"/>
        </w:rPr>
      </w:pPr>
      <w:r w:rsidRPr="005C6999">
        <w:rPr>
          <w:rFonts w:eastAsia="Calibri" w:cs="Times New Roman"/>
          <w:bCs/>
          <w:szCs w:val="24"/>
        </w:rPr>
        <w:t xml:space="preserve">valamely valós vagy vélt károsodáson/fogyatékosságon alapuló </w:t>
      </w:r>
      <w:r w:rsidR="000A749F" w:rsidRPr="005C6999">
        <w:rPr>
          <w:rFonts w:eastAsia="Calibri" w:cs="Times New Roman"/>
          <w:bCs/>
          <w:szCs w:val="24"/>
        </w:rPr>
        <w:t>nem-önk</w:t>
      </w:r>
      <w:r w:rsidRPr="005C6999">
        <w:rPr>
          <w:rFonts w:eastAsia="Calibri" w:cs="Times New Roman"/>
          <w:bCs/>
          <w:szCs w:val="24"/>
        </w:rPr>
        <w:t>éntes intézeti elhelyezésre és</w:t>
      </w:r>
      <w:r w:rsidR="000A749F" w:rsidRPr="005C6999">
        <w:rPr>
          <w:rFonts w:eastAsia="Calibri" w:cs="Times New Roman"/>
          <w:bCs/>
          <w:szCs w:val="24"/>
        </w:rPr>
        <w:t xml:space="preserve"> </w:t>
      </w:r>
      <w:r w:rsidRPr="005C6999">
        <w:rPr>
          <w:rFonts w:eastAsia="Calibri" w:cs="Times New Roman"/>
          <w:bCs/>
          <w:szCs w:val="24"/>
        </w:rPr>
        <w:t xml:space="preserve">nem-önkéntes </w:t>
      </w:r>
      <w:r w:rsidR="000A749F" w:rsidRPr="005C6999">
        <w:rPr>
          <w:rFonts w:eastAsia="Calibri" w:cs="Times New Roman"/>
          <w:bCs/>
          <w:szCs w:val="24"/>
        </w:rPr>
        <w:t>kezelésre irányuló jogi szabályozás egészének elutasítása;</w:t>
      </w:r>
    </w:p>
    <w:p w14:paraId="2EE81746" w14:textId="77777777" w:rsidR="000A749F" w:rsidRPr="005C6999" w:rsidRDefault="000A749F" w:rsidP="002F3761">
      <w:pPr>
        <w:pStyle w:val="Listaszerbekezds"/>
        <w:numPr>
          <w:ilvl w:val="0"/>
          <w:numId w:val="17"/>
        </w:numPr>
        <w:rPr>
          <w:rFonts w:eastAsia="Calibri" w:cs="Times New Roman"/>
          <w:bCs/>
          <w:szCs w:val="24"/>
        </w:rPr>
      </w:pPr>
      <w:r w:rsidRPr="005C6999">
        <w:rPr>
          <w:rFonts w:eastAsia="Calibri" w:cs="Times New Roman"/>
          <w:bCs/>
          <w:szCs w:val="24"/>
        </w:rPr>
        <w:t>olyan alternatív megoldások kidolgozása, felkutatása és hozzáférhetővé tétele, melyek az emberi jogi paradigma talaján állnak.</w:t>
      </w:r>
      <w:r w:rsidRPr="005C6999">
        <w:rPr>
          <w:rStyle w:val="Lbjegyzet-hivatkozs"/>
          <w:rFonts w:eastAsia="Calibri" w:cs="Times New Roman"/>
          <w:bCs/>
          <w:szCs w:val="24"/>
        </w:rPr>
        <w:footnoteReference w:id="113"/>
      </w:r>
    </w:p>
    <w:p w14:paraId="18D1A802" w14:textId="49E95B0E" w:rsidR="000A749F" w:rsidRPr="005C6999" w:rsidRDefault="002C1D0B" w:rsidP="002F3761">
      <w:pPr>
        <w:rPr>
          <w:rFonts w:cs="Times New Roman"/>
          <w:szCs w:val="24"/>
        </w:rPr>
      </w:pPr>
      <w:r w:rsidRPr="005C6999">
        <w:rPr>
          <w:rFonts w:cs="Times New Roman"/>
          <w:szCs w:val="24"/>
        </w:rPr>
        <w:lastRenderedPageBreak/>
        <w:t xml:space="preserve">Másképpen fogalmazva, ez nem azt jelenti, hogy fogyatékossággal élő személyeket nem lehet jogszerűen fogvatartani </w:t>
      </w:r>
      <w:r w:rsidR="00C33FF1" w:rsidRPr="005C6999">
        <w:rPr>
          <w:rFonts w:cs="Times New Roman"/>
          <w:szCs w:val="24"/>
        </w:rPr>
        <w:t>azért, hogy kezeljék őket</w:t>
      </w:r>
      <w:r w:rsidR="001D1FC2">
        <w:rPr>
          <w:rFonts w:cs="Times New Roman"/>
          <w:szCs w:val="24"/>
        </w:rPr>
        <w:t>,</w:t>
      </w:r>
      <w:r w:rsidR="0027262C" w:rsidRPr="005C6999">
        <w:rPr>
          <w:rFonts w:cs="Times New Roman"/>
          <w:szCs w:val="24"/>
        </w:rPr>
        <w:t xml:space="preserve"> de a szabadságkorlátozás jogi alapját úgy kell meghatározni, hogy az ne</w:t>
      </w:r>
      <w:r w:rsidR="00C33FF1" w:rsidRPr="005C6999">
        <w:rPr>
          <w:rFonts w:cs="Times New Roman"/>
          <w:szCs w:val="24"/>
        </w:rPr>
        <w:t xml:space="preserve"> tartalmazzon</w:t>
      </w:r>
      <w:r w:rsidR="0027262C" w:rsidRPr="005C6999">
        <w:rPr>
          <w:rFonts w:cs="Times New Roman"/>
          <w:szCs w:val="24"/>
        </w:rPr>
        <w:t xml:space="preserve"> </w:t>
      </w:r>
      <w:r w:rsidR="00C33FF1" w:rsidRPr="005C6999">
        <w:rPr>
          <w:rFonts w:cs="Times New Roman"/>
          <w:szCs w:val="24"/>
        </w:rPr>
        <w:t xml:space="preserve">sem közvetlenül, sem közvetetten </w:t>
      </w:r>
      <w:r w:rsidR="0027262C" w:rsidRPr="005C6999">
        <w:rPr>
          <w:rFonts w:cs="Times New Roman"/>
          <w:szCs w:val="24"/>
        </w:rPr>
        <w:t>a károsodás</w:t>
      </w:r>
      <w:r w:rsidR="00C33FF1" w:rsidRPr="005C6999">
        <w:rPr>
          <w:rFonts w:cs="Times New Roman"/>
          <w:szCs w:val="24"/>
        </w:rPr>
        <w:t xml:space="preserve">ra/fogyatékosságra utaló kitételt, és </w:t>
      </w:r>
      <w:proofErr w:type="gramStart"/>
      <w:r w:rsidR="00C33FF1" w:rsidRPr="005C6999">
        <w:rPr>
          <w:rFonts w:cs="Times New Roman"/>
          <w:szCs w:val="24"/>
        </w:rPr>
        <w:t>ezáltal</w:t>
      </w:r>
      <w:proofErr w:type="gramEnd"/>
      <w:r w:rsidR="00C33FF1" w:rsidRPr="005C6999">
        <w:rPr>
          <w:rFonts w:cs="Times New Roman"/>
          <w:szCs w:val="24"/>
        </w:rPr>
        <w:t xml:space="preserve"> minden személyre azonos alapon vonatkozzon.</w:t>
      </w:r>
      <w:r w:rsidR="00C33FF1" w:rsidRPr="005C6999">
        <w:rPr>
          <w:rStyle w:val="Lbjegyzet-hivatkozs"/>
          <w:rFonts w:cs="Times New Roman"/>
          <w:szCs w:val="24"/>
        </w:rPr>
        <w:footnoteReference w:id="114"/>
      </w:r>
    </w:p>
    <w:p w14:paraId="79E2CB07" w14:textId="77777777" w:rsidR="00CF4E97" w:rsidRPr="002F3761" w:rsidRDefault="00CF4E97" w:rsidP="002F3761">
      <w:pPr>
        <w:rPr>
          <w:rFonts w:cs="Times New Roman"/>
          <w:szCs w:val="24"/>
        </w:rPr>
      </w:pPr>
    </w:p>
    <w:p w14:paraId="0C93B32C" w14:textId="3B8847DE" w:rsidR="00D05B58" w:rsidRPr="000B427C" w:rsidRDefault="005C6999" w:rsidP="000B427C">
      <w:pPr>
        <w:pStyle w:val="Cmsor1"/>
        <w:rPr>
          <w:rFonts w:ascii="Times New Roman" w:hAnsi="Times New Roman" w:cs="Times New Roman"/>
          <w:color w:val="auto"/>
        </w:rPr>
      </w:pPr>
      <w:bookmarkStart w:id="20" w:name="_Toc451515110"/>
      <w:r w:rsidRPr="000B427C">
        <w:rPr>
          <w:rFonts w:ascii="Times New Roman" w:hAnsi="Times New Roman" w:cs="Times New Roman"/>
          <w:color w:val="auto"/>
        </w:rPr>
        <w:t>5</w:t>
      </w:r>
      <w:r w:rsidR="00CF4E97" w:rsidRPr="000B427C">
        <w:rPr>
          <w:rFonts w:ascii="Times New Roman" w:hAnsi="Times New Roman" w:cs="Times New Roman"/>
          <w:color w:val="auto"/>
        </w:rPr>
        <w:t xml:space="preserve">. </w:t>
      </w:r>
      <w:r w:rsidR="00D05B58" w:rsidRPr="000B427C">
        <w:rPr>
          <w:rFonts w:ascii="Times New Roman" w:hAnsi="Times New Roman" w:cs="Times New Roman"/>
          <w:color w:val="auto"/>
        </w:rPr>
        <w:t xml:space="preserve">A </w:t>
      </w:r>
      <w:r w:rsidR="00D01DDB" w:rsidRPr="000B427C">
        <w:rPr>
          <w:rFonts w:ascii="Times New Roman" w:hAnsi="Times New Roman" w:cs="Times New Roman"/>
          <w:color w:val="auto"/>
        </w:rPr>
        <w:t xml:space="preserve">nem-önkéntes </w:t>
      </w:r>
      <w:r w:rsidR="00D05B58" w:rsidRPr="000B427C">
        <w:rPr>
          <w:rFonts w:ascii="Times New Roman" w:hAnsi="Times New Roman" w:cs="Times New Roman"/>
          <w:color w:val="auto"/>
        </w:rPr>
        <w:t xml:space="preserve">intézeti elhelyezés és a </w:t>
      </w:r>
      <w:r w:rsidR="00D01DDB" w:rsidRPr="000B427C">
        <w:rPr>
          <w:rFonts w:ascii="Times New Roman" w:hAnsi="Times New Roman" w:cs="Times New Roman"/>
          <w:color w:val="auto"/>
        </w:rPr>
        <w:t xml:space="preserve">nem-önkéntes </w:t>
      </w:r>
      <w:r w:rsidR="00D05B58" w:rsidRPr="000B427C">
        <w:rPr>
          <w:rFonts w:ascii="Times New Roman" w:hAnsi="Times New Roman" w:cs="Times New Roman"/>
          <w:color w:val="auto"/>
        </w:rPr>
        <w:t>gyógykezelés alternatívái, jó gyakorlatok bemutatása</w:t>
      </w:r>
      <w:bookmarkEnd w:id="20"/>
    </w:p>
    <w:p w14:paraId="194D5A8E" w14:textId="77777777" w:rsidR="00A220A5" w:rsidRPr="002F3761" w:rsidRDefault="00A220A5" w:rsidP="002F3761">
      <w:pPr>
        <w:rPr>
          <w:rFonts w:cs="Times New Roman"/>
          <w:szCs w:val="24"/>
        </w:rPr>
      </w:pPr>
    </w:p>
    <w:p w14:paraId="4797BC92" w14:textId="77777777" w:rsidR="000A749F" w:rsidRPr="002F3761" w:rsidRDefault="00C532D8" w:rsidP="002F3761">
      <w:pPr>
        <w:contextualSpacing/>
        <w:rPr>
          <w:rFonts w:cs="Times New Roman"/>
          <w:szCs w:val="24"/>
        </w:rPr>
      </w:pPr>
      <w:r w:rsidRPr="002F3761">
        <w:rPr>
          <w:rFonts w:cs="Times New Roman"/>
          <w:szCs w:val="24"/>
        </w:rPr>
        <w:t>Az alábbiakban a nem-önkéntes intézeti elhelyezés és a nem-önkéntes kezelés néhány olyan alternatíváját mutatjuk be, melyek a CRPD rendelkezéseit és az emberi jogi paradigma tételeit tiszteletben tartják.</w:t>
      </w:r>
      <w:r w:rsidR="00521048" w:rsidRPr="002F3761">
        <w:rPr>
          <w:rFonts w:cs="Times New Roman"/>
          <w:szCs w:val="24"/>
        </w:rPr>
        <w:t xml:space="preserve"> A kiindulópont a CRPD 12. cikkének maximális </w:t>
      </w:r>
      <w:r w:rsidR="00E93847">
        <w:rPr>
          <w:rFonts w:cs="Times New Roman"/>
          <w:szCs w:val="24"/>
        </w:rPr>
        <w:t>elfogadása</w:t>
      </w:r>
      <w:r w:rsidR="00521048" w:rsidRPr="002F3761">
        <w:rPr>
          <w:rFonts w:cs="Times New Roman"/>
          <w:szCs w:val="24"/>
        </w:rPr>
        <w:t xml:space="preserve"> kell, hogy legyen, mely a helyettes döntéshozatali struktúrák, így az erre épülő gondnoksági rendszerek hely</w:t>
      </w:r>
      <w:r w:rsidR="00BC66A5" w:rsidRPr="002F3761">
        <w:rPr>
          <w:rFonts w:cs="Times New Roman"/>
          <w:szCs w:val="24"/>
        </w:rPr>
        <w:t xml:space="preserve">ett </w:t>
      </w:r>
      <w:r w:rsidR="00521048" w:rsidRPr="002F3761">
        <w:rPr>
          <w:rFonts w:cs="Times New Roman"/>
          <w:szCs w:val="24"/>
        </w:rPr>
        <w:t xml:space="preserve">a </w:t>
      </w:r>
      <w:r w:rsidR="00BC66A5" w:rsidRPr="002F3761">
        <w:rPr>
          <w:rFonts w:cs="Times New Roman"/>
          <w:szCs w:val="24"/>
        </w:rPr>
        <w:t>támogatásokon alapuló cselekvőképesség-gyakorlást követeli meg.</w:t>
      </w:r>
      <w:r w:rsidR="00BC66A5" w:rsidRPr="002F3761">
        <w:rPr>
          <w:rStyle w:val="Lbjegyzet-hivatkozs"/>
          <w:rFonts w:cs="Times New Roman"/>
          <w:szCs w:val="24"/>
        </w:rPr>
        <w:footnoteReference w:id="115"/>
      </w:r>
      <w:r w:rsidR="00BC66A5" w:rsidRPr="002F3761">
        <w:rPr>
          <w:rFonts w:cs="Times New Roman"/>
          <w:szCs w:val="24"/>
        </w:rPr>
        <w:t xml:space="preserve"> A támogatásokon alapuló emberi jogi modell ismérveire épülő alternatívák kidolgozása innovatív </w:t>
      </w:r>
      <w:r w:rsidR="007609F5" w:rsidRPr="002F3761">
        <w:rPr>
          <w:rFonts w:cs="Times New Roman"/>
          <w:szCs w:val="24"/>
        </w:rPr>
        <w:t xml:space="preserve">attitűdöt feltételez. Ennek oka, hogy </w:t>
      </w:r>
      <w:r w:rsidR="00BC66A5" w:rsidRPr="002F3761">
        <w:rPr>
          <w:rFonts w:cs="Times New Roman"/>
          <w:szCs w:val="24"/>
        </w:rPr>
        <w:t xml:space="preserve">kevés számú iránymutatóul szolgáló keretrendszer, </w:t>
      </w:r>
      <w:r w:rsidR="007609F5" w:rsidRPr="002F3761">
        <w:rPr>
          <w:rFonts w:cs="Times New Roman"/>
          <w:szCs w:val="24"/>
        </w:rPr>
        <w:t xml:space="preserve">jó gyakorlat ismert és egyszerűbb a régi, medikális paradigma keretei között megalkotott jogszabályi rendelkezéseket, így </w:t>
      </w:r>
      <w:r w:rsidR="00E93847">
        <w:rPr>
          <w:rFonts w:cs="Times New Roman"/>
          <w:szCs w:val="24"/>
        </w:rPr>
        <w:t xml:space="preserve">a </w:t>
      </w:r>
      <w:r w:rsidR="007609F5" w:rsidRPr="002F3761">
        <w:rPr>
          <w:rFonts w:cs="Times New Roman"/>
          <w:szCs w:val="24"/>
        </w:rPr>
        <w:t>nem-önkéntes intézeti elhelyezést és a nem-önkéntes gyógykezelést alkalmazni. Ilyen innovatív alternatívaként említhetjük például a következőket:</w:t>
      </w:r>
    </w:p>
    <w:p w14:paraId="232A15B7" w14:textId="77777777" w:rsidR="007609F5" w:rsidRPr="002F3761" w:rsidRDefault="00B26CF1" w:rsidP="002F3761">
      <w:pPr>
        <w:pStyle w:val="Listaszerbekezds"/>
        <w:numPr>
          <w:ilvl w:val="0"/>
          <w:numId w:val="18"/>
        </w:numPr>
        <w:rPr>
          <w:rFonts w:cs="Times New Roman"/>
          <w:szCs w:val="24"/>
        </w:rPr>
      </w:pPr>
      <w:r w:rsidRPr="002F3761">
        <w:rPr>
          <w:rFonts w:cs="Times New Roman"/>
          <w:szCs w:val="24"/>
        </w:rPr>
        <w:t>sorstársi támogatás</w:t>
      </w:r>
      <w:r w:rsidR="00FA351B" w:rsidRPr="002F3761">
        <w:rPr>
          <w:rFonts w:cs="Times New Roman"/>
          <w:szCs w:val="24"/>
        </w:rPr>
        <w:t>/önsegítés</w:t>
      </w:r>
      <w:r w:rsidRPr="002F3761">
        <w:rPr>
          <w:rFonts w:cs="Times New Roman"/>
          <w:szCs w:val="24"/>
        </w:rPr>
        <w:t xml:space="preserve"> (peer support)</w:t>
      </w:r>
    </w:p>
    <w:p w14:paraId="208FDDCE" w14:textId="77777777" w:rsidR="00B26CF1" w:rsidRPr="002F3761" w:rsidRDefault="00B26CF1" w:rsidP="002F3761">
      <w:pPr>
        <w:pStyle w:val="Listaszerbekezds"/>
        <w:numPr>
          <w:ilvl w:val="0"/>
          <w:numId w:val="18"/>
        </w:numPr>
        <w:rPr>
          <w:rFonts w:cs="Times New Roman"/>
          <w:szCs w:val="24"/>
        </w:rPr>
      </w:pPr>
      <w:r w:rsidRPr="002F3761">
        <w:rPr>
          <w:rFonts w:cs="Times New Roman"/>
          <w:szCs w:val="24"/>
        </w:rPr>
        <w:t>felépülés alapú szolgáltatások (recovery-based services)</w:t>
      </w:r>
    </w:p>
    <w:p w14:paraId="4A3CF6E3" w14:textId="77777777" w:rsidR="00B26CF1" w:rsidRPr="002F3761" w:rsidRDefault="00B26CF1" w:rsidP="002F3761">
      <w:pPr>
        <w:pStyle w:val="Listaszerbekezds"/>
        <w:numPr>
          <w:ilvl w:val="0"/>
          <w:numId w:val="18"/>
        </w:numPr>
        <w:rPr>
          <w:rFonts w:cs="Times New Roman"/>
          <w:szCs w:val="24"/>
        </w:rPr>
      </w:pPr>
      <w:r w:rsidRPr="002F3761">
        <w:rPr>
          <w:rFonts w:cs="Times New Roman"/>
          <w:szCs w:val="24"/>
        </w:rPr>
        <w:t>közösségi támogató hálózatok (community support networks)</w:t>
      </w:r>
    </w:p>
    <w:p w14:paraId="1FD82E25" w14:textId="77777777" w:rsidR="00B26CF1" w:rsidRPr="002F3761" w:rsidRDefault="007F3FBB" w:rsidP="002F3761">
      <w:pPr>
        <w:pStyle w:val="Listaszerbekezds"/>
        <w:numPr>
          <w:ilvl w:val="0"/>
          <w:numId w:val="18"/>
        </w:numPr>
        <w:rPr>
          <w:rFonts w:cs="Times New Roman"/>
          <w:szCs w:val="24"/>
        </w:rPr>
      </w:pPr>
      <w:r w:rsidRPr="002F3761">
        <w:rPr>
          <w:rFonts w:cs="Times New Roman"/>
          <w:szCs w:val="24"/>
        </w:rPr>
        <w:t>személyi segítés (personal assistance)</w:t>
      </w:r>
      <w:r w:rsidR="00E93847">
        <w:rPr>
          <w:rFonts w:cs="Times New Roman"/>
          <w:szCs w:val="24"/>
        </w:rPr>
        <w:t>.</w:t>
      </w:r>
      <w:r w:rsidR="000466BD" w:rsidRPr="002F3761">
        <w:rPr>
          <w:rStyle w:val="Lbjegyzet-hivatkozs"/>
          <w:rFonts w:cs="Times New Roman"/>
          <w:szCs w:val="24"/>
        </w:rPr>
        <w:footnoteReference w:id="116"/>
      </w:r>
    </w:p>
    <w:p w14:paraId="436F0673" w14:textId="77777777" w:rsidR="000A749F" w:rsidRPr="002F3761" w:rsidRDefault="000A749F" w:rsidP="002F3761">
      <w:pPr>
        <w:contextualSpacing/>
        <w:rPr>
          <w:rFonts w:cs="Times New Roman"/>
          <w:szCs w:val="24"/>
        </w:rPr>
      </w:pPr>
    </w:p>
    <w:p w14:paraId="15574EC9" w14:textId="77777777" w:rsidR="00C51EBB" w:rsidRPr="002F3761" w:rsidRDefault="00D709B3" w:rsidP="002F3761">
      <w:pPr>
        <w:contextualSpacing/>
        <w:rPr>
          <w:rFonts w:cs="Times New Roman"/>
          <w:szCs w:val="24"/>
        </w:rPr>
      </w:pPr>
      <w:r w:rsidRPr="002F3761">
        <w:rPr>
          <w:rFonts w:cs="Times New Roman"/>
          <w:szCs w:val="24"/>
        </w:rPr>
        <w:t xml:space="preserve">E négy alternatíva </w:t>
      </w:r>
      <w:r w:rsidR="0044732B" w:rsidRPr="002F3761">
        <w:rPr>
          <w:rFonts w:cs="Times New Roman"/>
          <w:szCs w:val="24"/>
        </w:rPr>
        <w:t xml:space="preserve">egymással összefügg, </w:t>
      </w:r>
      <w:r w:rsidR="00B2198D" w:rsidRPr="002F3761">
        <w:rPr>
          <w:rFonts w:cs="Times New Roman"/>
          <w:szCs w:val="24"/>
        </w:rPr>
        <w:t>az egyik megléte</w:t>
      </w:r>
      <w:r w:rsidR="0044732B" w:rsidRPr="002F3761">
        <w:rPr>
          <w:rFonts w:cs="Times New Roman"/>
          <w:szCs w:val="24"/>
        </w:rPr>
        <w:t xml:space="preserve"> erősít</w:t>
      </w:r>
      <w:r w:rsidR="00B2198D" w:rsidRPr="002F3761">
        <w:rPr>
          <w:rFonts w:cs="Times New Roman"/>
          <w:szCs w:val="24"/>
        </w:rPr>
        <w:t>(het)</w:t>
      </w:r>
      <w:r w:rsidR="0044732B" w:rsidRPr="002F3761">
        <w:rPr>
          <w:rFonts w:cs="Times New Roman"/>
          <w:szCs w:val="24"/>
        </w:rPr>
        <w:t>i, hiány</w:t>
      </w:r>
      <w:r w:rsidR="00B2198D" w:rsidRPr="002F3761">
        <w:rPr>
          <w:rFonts w:cs="Times New Roman"/>
          <w:szCs w:val="24"/>
        </w:rPr>
        <w:t xml:space="preserve">a </w:t>
      </w:r>
      <w:r w:rsidR="0044732B" w:rsidRPr="002F3761">
        <w:rPr>
          <w:rFonts w:cs="Times New Roman"/>
          <w:szCs w:val="24"/>
        </w:rPr>
        <w:t xml:space="preserve">pedig gyengít(het)i </w:t>
      </w:r>
      <w:r w:rsidR="00B2198D" w:rsidRPr="002F3761">
        <w:rPr>
          <w:rFonts w:cs="Times New Roman"/>
          <w:szCs w:val="24"/>
        </w:rPr>
        <w:t>a másikat, illetve a többit.</w:t>
      </w:r>
    </w:p>
    <w:p w14:paraId="517622CD" w14:textId="77777777" w:rsidR="0044732B" w:rsidRPr="002F3761" w:rsidRDefault="0044732B" w:rsidP="002F3761">
      <w:pPr>
        <w:contextualSpacing/>
        <w:rPr>
          <w:rFonts w:cs="Times New Roman"/>
          <w:szCs w:val="24"/>
        </w:rPr>
      </w:pPr>
    </w:p>
    <w:p w14:paraId="3C21EBA3" w14:textId="545FE4E1" w:rsidR="0090684B" w:rsidRPr="000B427C" w:rsidRDefault="00804684" w:rsidP="000B427C">
      <w:pPr>
        <w:pStyle w:val="Cmsor2"/>
        <w:rPr>
          <w:rFonts w:ascii="Times New Roman" w:hAnsi="Times New Roman" w:cs="Times New Roman"/>
          <w:color w:val="auto"/>
        </w:rPr>
      </w:pPr>
      <w:bookmarkStart w:id="21" w:name="_Toc451515111"/>
      <w:r w:rsidRPr="000B427C">
        <w:rPr>
          <w:rFonts w:ascii="Times New Roman" w:hAnsi="Times New Roman" w:cs="Times New Roman"/>
          <w:color w:val="auto"/>
        </w:rPr>
        <w:t>5.1</w:t>
      </w:r>
      <w:r w:rsidR="00CF4E97" w:rsidRPr="000B427C">
        <w:rPr>
          <w:rFonts w:ascii="Times New Roman" w:hAnsi="Times New Roman" w:cs="Times New Roman"/>
          <w:color w:val="auto"/>
        </w:rPr>
        <w:t>.</w:t>
      </w:r>
      <w:r w:rsidR="0090684B" w:rsidRPr="000B427C">
        <w:rPr>
          <w:rFonts w:ascii="Times New Roman" w:hAnsi="Times New Roman" w:cs="Times New Roman"/>
          <w:color w:val="auto"/>
        </w:rPr>
        <w:t xml:space="preserve"> </w:t>
      </w:r>
      <w:r w:rsidRPr="000B427C">
        <w:rPr>
          <w:rFonts w:ascii="Times New Roman" w:hAnsi="Times New Roman" w:cs="Times New Roman"/>
          <w:color w:val="auto"/>
        </w:rPr>
        <w:t>S</w:t>
      </w:r>
      <w:r w:rsidR="000466BD" w:rsidRPr="000B427C">
        <w:rPr>
          <w:rFonts w:ascii="Times New Roman" w:hAnsi="Times New Roman" w:cs="Times New Roman"/>
          <w:color w:val="auto"/>
        </w:rPr>
        <w:t>orstársi támogatás/önsegítés</w:t>
      </w:r>
      <w:bookmarkEnd w:id="21"/>
    </w:p>
    <w:p w14:paraId="7C59ABE5" w14:textId="77777777" w:rsidR="0090684B" w:rsidRPr="002F3761" w:rsidRDefault="0090684B" w:rsidP="002F3761">
      <w:pPr>
        <w:contextualSpacing/>
        <w:rPr>
          <w:rFonts w:cs="Times New Roman"/>
          <w:szCs w:val="24"/>
        </w:rPr>
      </w:pPr>
    </w:p>
    <w:p w14:paraId="17246EAC" w14:textId="1876E91E" w:rsidR="006833DB" w:rsidRPr="002F3761" w:rsidRDefault="000466BD" w:rsidP="002F3761">
      <w:pPr>
        <w:contextualSpacing/>
        <w:rPr>
          <w:rFonts w:cs="Times New Roman"/>
          <w:szCs w:val="24"/>
        </w:rPr>
      </w:pPr>
      <w:r w:rsidRPr="002F3761">
        <w:rPr>
          <w:rFonts w:cs="Times New Roman"/>
          <w:szCs w:val="24"/>
        </w:rPr>
        <w:t>T</w:t>
      </w:r>
      <w:r w:rsidR="003B757D" w:rsidRPr="002F3761">
        <w:rPr>
          <w:rFonts w:cs="Times New Roman"/>
          <w:szCs w:val="24"/>
        </w:rPr>
        <w:t xml:space="preserve">öbb sorstársak által vezetett </w:t>
      </w:r>
      <w:r w:rsidRPr="002F3761">
        <w:rPr>
          <w:rFonts w:cs="Times New Roman"/>
          <w:szCs w:val="24"/>
        </w:rPr>
        <w:t xml:space="preserve">kisebb-nagyobb </w:t>
      </w:r>
      <w:r w:rsidR="003B757D" w:rsidRPr="002F3761">
        <w:rPr>
          <w:rFonts w:cs="Times New Roman"/>
          <w:szCs w:val="24"/>
        </w:rPr>
        <w:t xml:space="preserve">szervezet is </w:t>
      </w:r>
      <w:r w:rsidRPr="002F3761">
        <w:rPr>
          <w:rFonts w:cs="Times New Roman"/>
          <w:szCs w:val="24"/>
        </w:rPr>
        <w:t>jelentős szerepet játszik az önsegítés terén</w:t>
      </w:r>
      <w:r w:rsidR="003B757D" w:rsidRPr="002F3761">
        <w:rPr>
          <w:rFonts w:cs="Times New Roman"/>
          <w:szCs w:val="24"/>
        </w:rPr>
        <w:t xml:space="preserve">; ilyen például a </w:t>
      </w:r>
      <w:r w:rsidR="006A6F29" w:rsidRPr="002F3761">
        <w:rPr>
          <w:rFonts w:cs="Times New Roman"/>
          <w:szCs w:val="24"/>
        </w:rPr>
        <w:t>Pszichiátria (volt) Használóinak és Túlélőinek Világhálózata</w:t>
      </w:r>
      <w:r w:rsidR="006A6F29" w:rsidRPr="002F3761">
        <w:rPr>
          <w:rStyle w:val="Lbjegyzet-hivatkozs"/>
          <w:rFonts w:cs="Times New Roman"/>
          <w:szCs w:val="24"/>
        </w:rPr>
        <w:footnoteReference w:id="117"/>
      </w:r>
      <w:r w:rsidR="006A6F29" w:rsidRPr="002F3761">
        <w:rPr>
          <w:rFonts w:cs="Times New Roman"/>
          <w:szCs w:val="24"/>
        </w:rPr>
        <w:t xml:space="preserve"> globális szinten; a </w:t>
      </w:r>
      <w:r w:rsidR="006833DB" w:rsidRPr="002F3761">
        <w:rPr>
          <w:rFonts w:cs="Times New Roman"/>
          <w:szCs w:val="24"/>
        </w:rPr>
        <w:t>Pszichiátria (volt) Használóinak és Túlélőinek Európai</w:t>
      </w:r>
      <w:r w:rsidRPr="002F3761">
        <w:rPr>
          <w:rFonts w:cs="Times New Roman"/>
          <w:szCs w:val="24"/>
        </w:rPr>
        <w:t xml:space="preserve"> Hálózata</w:t>
      </w:r>
      <w:r w:rsidR="006833DB" w:rsidRPr="002F3761">
        <w:rPr>
          <w:rStyle w:val="Lbjegyzet-hivatkozs"/>
          <w:rFonts w:cs="Times New Roman"/>
          <w:szCs w:val="24"/>
        </w:rPr>
        <w:footnoteReference w:id="118"/>
      </w:r>
      <w:r w:rsidR="006A6F29" w:rsidRPr="002F3761">
        <w:rPr>
          <w:rFonts w:cs="Times New Roman"/>
          <w:szCs w:val="24"/>
        </w:rPr>
        <w:t xml:space="preserve"> európai regionális szinten; és </w:t>
      </w:r>
      <w:r w:rsidR="00D72E9F">
        <w:rPr>
          <w:rFonts w:cs="Times New Roman"/>
          <w:szCs w:val="24"/>
        </w:rPr>
        <w:t>példának okáért Magyarországon a Pszichiátriai Érdekvédelmi Fórum,</w:t>
      </w:r>
      <w:r w:rsidR="00D72E9F">
        <w:rPr>
          <w:rStyle w:val="Lbjegyzet-hivatkozs"/>
          <w:rFonts w:cs="Times New Roman"/>
          <w:szCs w:val="24"/>
        </w:rPr>
        <w:footnoteReference w:id="119"/>
      </w:r>
      <w:r w:rsidR="00D72E9F">
        <w:rPr>
          <w:rFonts w:cs="Times New Roman"/>
          <w:szCs w:val="24"/>
        </w:rPr>
        <w:t xml:space="preserve"> vagy az Egyesült Királyságban </w:t>
      </w:r>
      <w:r w:rsidR="006A6F29" w:rsidRPr="002F3761">
        <w:rPr>
          <w:rFonts w:cs="Times New Roman"/>
          <w:szCs w:val="24"/>
        </w:rPr>
        <w:t>a</w:t>
      </w:r>
      <w:r w:rsidR="006833DB" w:rsidRPr="002F3761">
        <w:rPr>
          <w:rFonts w:cs="Times New Roman"/>
          <w:szCs w:val="24"/>
        </w:rPr>
        <w:t xml:space="preserve"> Hanghallók Egyesült Királyságbeli Hálózata</w:t>
      </w:r>
      <w:r w:rsidR="006A6F29" w:rsidRPr="002F3761">
        <w:rPr>
          <w:rStyle w:val="Lbjegyzet-hivatkozs"/>
          <w:rFonts w:cs="Times New Roman"/>
          <w:szCs w:val="24"/>
        </w:rPr>
        <w:footnoteReference w:id="120"/>
      </w:r>
      <w:r w:rsidR="006833DB" w:rsidRPr="002F3761">
        <w:rPr>
          <w:rFonts w:cs="Times New Roman"/>
          <w:szCs w:val="24"/>
        </w:rPr>
        <w:t xml:space="preserve"> </w:t>
      </w:r>
      <w:r w:rsidR="006A6F29" w:rsidRPr="002F3761">
        <w:rPr>
          <w:rFonts w:cs="Times New Roman"/>
          <w:szCs w:val="24"/>
        </w:rPr>
        <w:t>nemzeti szinten.</w:t>
      </w:r>
      <w:r w:rsidR="006833DB" w:rsidRPr="002F3761">
        <w:rPr>
          <w:rFonts w:cs="Times New Roman"/>
          <w:szCs w:val="24"/>
        </w:rPr>
        <w:t xml:space="preserve"> </w:t>
      </w:r>
    </w:p>
    <w:p w14:paraId="6BB68756" w14:textId="77777777" w:rsidR="006833DB" w:rsidRPr="002F3761" w:rsidRDefault="006833DB" w:rsidP="002F3761">
      <w:pPr>
        <w:contextualSpacing/>
        <w:rPr>
          <w:rFonts w:cs="Times New Roman"/>
          <w:szCs w:val="24"/>
        </w:rPr>
      </w:pPr>
    </w:p>
    <w:p w14:paraId="5472D9B0" w14:textId="5390845F" w:rsidR="0090684B" w:rsidRPr="002F3761" w:rsidRDefault="0090684B" w:rsidP="002F3761">
      <w:pPr>
        <w:contextualSpacing/>
        <w:rPr>
          <w:rFonts w:cs="Times New Roman"/>
          <w:szCs w:val="24"/>
        </w:rPr>
      </w:pPr>
      <w:r w:rsidRPr="002F3761">
        <w:rPr>
          <w:rFonts w:cs="Times New Roman"/>
          <w:szCs w:val="24"/>
        </w:rPr>
        <w:t>Szőke Zsolt</w:t>
      </w:r>
      <w:r w:rsidR="004F3E52">
        <w:rPr>
          <w:rFonts w:cs="Times New Roman"/>
          <w:szCs w:val="24"/>
        </w:rPr>
        <w:t>, a Lélekhang Egyesület</w:t>
      </w:r>
      <w:r w:rsidR="004F3E52">
        <w:rPr>
          <w:rStyle w:val="Lbjegyzet-hivatkozs"/>
          <w:rFonts w:cs="Times New Roman"/>
          <w:szCs w:val="24"/>
        </w:rPr>
        <w:footnoteReference w:id="121"/>
      </w:r>
      <w:r w:rsidR="004F3E52">
        <w:rPr>
          <w:rFonts w:cs="Times New Roman"/>
          <w:szCs w:val="24"/>
        </w:rPr>
        <w:t xml:space="preserve"> elnöke és a Pszichiátriai Érdekvédelmi Fórum alelnöke,</w:t>
      </w:r>
      <w:r w:rsidRPr="002F3761">
        <w:rPr>
          <w:rFonts w:cs="Times New Roman"/>
          <w:szCs w:val="24"/>
        </w:rPr>
        <w:t xml:space="preserve"> az önsegítés lényegét abban látja, hogy</w:t>
      </w:r>
    </w:p>
    <w:p w14:paraId="5516210F" w14:textId="77777777" w:rsidR="0090684B" w:rsidRPr="002F3761" w:rsidRDefault="0090684B" w:rsidP="002F3761">
      <w:pPr>
        <w:contextualSpacing/>
        <w:rPr>
          <w:rFonts w:cs="Times New Roman"/>
          <w:szCs w:val="24"/>
        </w:rPr>
      </w:pPr>
    </w:p>
    <w:p w14:paraId="4CFF1A69" w14:textId="77777777" w:rsidR="0090684B" w:rsidRPr="002F3761" w:rsidRDefault="0090684B" w:rsidP="002F3761">
      <w:pPr>
        <w:ind w:left="708"/>
        <w:contextualSpacing/>
        <w:rPr>
          <w:rFonts w:cs="Times New Roman"/>
          <w:szCs w:val="24"/>
        </w:rPr>
      </w:pPr>
      <w:r w:rsidRPr="002F3761">
        <w:rPr>
          <w:rFonts w:cs="Times New Roman"/>
          <w:szCs w:val="24"/>
        </w:rPr>
        <w:t>„hasonló bajban, gondban levő ill. betegségben szenvedő emberek összeszövetkeznek és megpróbálnak egymásnak segíteni. A tagok érzelmileg támogatják egymást, segítenek elviselni vagy megoldani az életben felmerülő problémákat, bajokat.”</w:t>
      </w:r>
      <w:r w:rsidRPr="002F3761">
        <w:rPr>
          <w:rStyle w:val="Lbjegyzet-hivatkozs"/>
          <w:rFonts w:cs="Times New Roman"/>
          <w:szCs w:val="24"/>
        </w:rPr>
        <w:footnoteReference w:id="122"/>
      </w:r>
    </w:p>
    <w:p w14:paraId="71A4FF70" w14:textId="77777777" w:rsidR="0090684B" w:rsidRPr="002F3761" w:rsidRDefault="0090684B" w:rsidP="002F3761">
      <w:pPr>
        <w:contextualSpacing/>
        <w:rPr>
          <w:rFonts w:cs="Times New Roman"/>
          <w:szCs w:val="24"/>
        </w:rPr>
      </w:pPr>
    </w:p>
    <w:p w14:paraId="61E86EF6" w14:textId="193CD3A7" w:rsidR="00396AC8" w:rsidRPr="002F3761" w:rsidRDefault="00396AC8" w:rsidP="002F3761">
      <w:pPr>
        <w:contextualSpacing/>
        <w:rPr>
          <w:rFonts w:cs="Times New Roman"/>
          <w:szCs w:val="24"/>
        </w:rPr>
      </w:pPr>
      <w:r w:rsidRPr="002F3761">
        <w:rPr>
          <w:rFonts w:cs="Times New Roman"/>
          <w:szCs w:val="24"/>
        </w:rPr>
        <w:t>Az Ébredések Alapítvány szerint az önsegítő csoportok céljai:</w:t>
      </w:r>
    </w:p>
    <w:p w14:paraId="2CF5B633" w14:textId="77777777" w:rsidR="00396AC8" w:rsidRPr="002F3761" w:rsidRDefault="00396AC8" w:rsidP="002F3761">
      <w:pPr>
        <w:pStyle w:val="Listaszerbekezds"/>
        <w:numPr>
          <w:ilvl w:val="0"/>
          <w:numId w:val="25"/>
        </w:numPr>
        <w:rPr>
          <w:rFonts w:cs="Times New Roman"/>
          <w:szCs w:val="24"/>
        </w:rPr>
      </w:pPr>
      <w:r w:rsidRPr="002F3761">
        <w:rPr>
          <w:rFonts w:cs="Times New Roman"/>
          <w:szCs w:val="24"/>
        </w:rPr>
        <w:t>a pszichiátriai problémával élők érdek- és jogvédelme;</w:t>
      </w:r>
    </w:p>
    <w:p w14:paraId="695B8C68" w14:textId="77777777" w:rsidR="00396AC8" w:rsidRPr="002F3761" w:rsidRDefault="00396AC8" w:rsidP="002F3761">
      <w:pPr>
        <w:pStyle w:val="Listaszerbekezds"/>
        <w:numPr>
          <w:ilvl w:val="0"/>
          <w:numId w:val="25"/>
        </w:numPr>
        <w:rPr>
          <w:rFonts w:cs="Times New Roman"/>
          <w:szCs w:val="24"/>
        </w:rPr>
      </w:pPr>
      <w:r w:rsidRPr="002F3761">
        <w:rPr>
          <w:rFonts w:cs="Times New Roman"/>
          <w:szCs w:val="24"/>
        </w:rPr>
        <w:t>a társadalmi megbélyegzés csökkentése;</w:t>
      </w:r>
    </w:p>
    <w:p w14:paraId="78264F5D" w14:textId="77777777" w:rsidR="00396AC8" w:rsidRPr="002F3761" w:rsidRDefault="00396AC8" w:rsidP="002F3761">
      <w:pPr>
        <w:pStyle w:val="Listaszerbekezds"/>
        <w:numPr>
          <w:ilvl w:val="0"/>
          <w:numId w:val="25"/>
        </w:numPr>
        <w:rPr>
          <w:rFonts w:cs="Times New Roman"/>
          <w:szCs w:val="24"/>
        </w:rPr>
      </w:pPr>
      <w:r w:rsidRPr="002F3761">
        <w:rPr>
          <w:rFonts w:cs="Times New Roman"/>
          <w:szCs w:val="24"/>
        </w:rPr>
        <w:t>a szakemberekkel való együttműködés;</w:t>
      </w:r>
    </w:p>
    <w:p w14:paraId="70BF9DF7" w14:textId="77777777" w:rsidR="00396AC8" w:rsidRPr="002F3761" w:rsidRDefault="00396AC8" w:rsidP="002F3761">
      <w:pPr>
        <w:pStyle w:val="Listaszerbekezds"/>
        <w:numPr>
          <w:ilvl w:val="0"/>
          <w:numId w:val="25"/>
        </w:numPr>
        <w:rPr>
          <w:rFonts w:cs="Times New Roman"/>
          <w:szCs w:val="24"/>
        </w:rPr>
      </w:pPr>
      <w:r w:rsidRPr="002F3761">
        <w:rPr>
          <w:rFonts w:cs="Times New Roman"/>
          <w:szCs w:val="24"/>
        </w:rPr>
        <w:t>a páciensek rehabilitációja;</w:t>
      </w:r>
    </w:p>
    <w:p w14:paraId="021BFE40" w14:textId="77777777" w:rsidR="00396AC8" w:rsidRPr="002F3761" w:rsidRDefault="00396AC8" w:rsidP="002F3761">
      <w:pPr>
        <w:pStyle w:val="Listaszerbekezds"/>
        <w:numPr>
          <w:ilvl w:val="0"/>
          <w:numId w:val="25"/>
        </w:numPr>
        <w:rPr>
          <w:rFonts w:cs="Times New Roman"/>
          <w:szCs w:val="24"/>
        </w:rPr>
      </w:pPr>
      <w:r w:rsidRPr="002F3761">
        <w:rPr>
          <w:rFonts w:cs="Times New Roman"/>
          <w:szCs w:val="24"/>
        </w:rPr>
        <w:t>a kölcsönös segítség és közösség kialakítása.</w:t>
      </w:r>
      <w:r w:rsidRPr="002F3761">
        <w:rPr>
          <w:rStyle w:val="Lbjegyzet-hivatkozs"/>
          <w:rFonts w:cs="Times New Roman"/>
          <w:szCs w:val="24"/>
        </w:rPr>
        <w:footnoteReference w:id="123"/>
      </w:r>
    </w:p>
    <w:p w14:paraId="16D1F4D5" w14:textId="77777777" w:rsidR="00396AC8" w:rsidRPr="002F3761" w:rsidRDefault="00396AC8" w:rsidP="002F3761">
      <w:pPr>
        <w:contextualSpacing/>
        <w:rPr>
          <w:rFonts w:cs="Times New Roman"/>
          <w:szCs w:val="24"/>
        </w:rPr>
      </w:pPr>
    </w:p>
    <w:p w14:paraId="0FAA4D6A" w14:textId="77777777" w:rsidR="000466BD" w:rsidRPr="002F3761" w:rsidRDefault="000466BD" w:rsidP="002F3761">
      <w:pPr>
        <w:contextualSpacing/>
        <w:rPr>
          <w:rFonts w:cs="Times New Roman"/>
          <w:szCs w:val="24"/>
        </w:rPr>
      </w:pPr>
      <w:r w:rsidRPr="002F3761">
        <w:rPr>
          <w:rFonts w:cs="Times New Roman"/>
          <w:szCs w:val="24"/>
        </w:rPr>
        <w:t xml:space="preserve">Az </w:t>
      </w:r>
      <w:r w:rsidRPr="002F3761">
        <w:rPr>
          <w:rFonts w:cs="Times New Roman"/>
          <w:i/>
          <w:szCs w:val="24"/>
        </w:rPr>
        <w:t>Intentional Peer Support</w:t>
      </w:r>
      <w:r w:rsidRPr="002F3761">
        <w:rPr>
          <w:rFonts w:cs="Times New Roman"/>
          <w:szCs w:val="24"/>
        </w:rPr>
        <w:t xml:space="preserve"> (a továbbiakban: IPS)</w:t>
      </w:r>
      <w:r w:rsidR="001522C8" w:rsidRPr="002F3761">
        <w:rPr>
          <w:rFonts w:cs="Times New Roman"/>
          <w:szCs w:val="24"/>
        </w:rPr>
        <w:t xml:space="preserve"> </w:t>
      </w:r>
      <w:r w:rsidR="00D773FC" w:rsidRPr="002F3761">
        <w:rPr>
          <w:rFonts w:cs="Times New Roman"/>
          <w:szCs w:val="24"/>
        </w:rPr>
        <w:t>az 1990-es években jött létre.</w:t>
      </w:r>
      <w:r w:rsidR="00D773FC" w:rsidRPr="002F3761">
        <w:rPr>
          <w:rStyle w:val="Lbjegyzet-hivatkozs"/>
          <w:rFonts w:cs="Times New Roman"/>
          <w:szCs w:val="24"/>
        </w:rPr>
        <w:footnoteReference w:id="124"/>
      </w:r>
      <w:r w:rsidR="00D773FC" w:rsidRPr="002F3761">
        <w:rPr>
          <w:rFonts w:cs="Times New Roman"/>
          <w:szCs w:val="24"/>
        </w:rPr>
        <w:t xml:space="preserve"> Ez </w:t>
      </w:r>
      <w:r w:rsidR="001522C8" w:rsidRPr="002F3761">
        <w:rPr>
          <w:rFonts w:cs="Times New Roman"/>
          <w:szCs w:val="24"/>
        </w:rPr>
        <w:t>egy olyan gondolkodásmódon alapuló megközelítés, amel</w:t>
      </w:r>
      <w:r w:rsidR="00676FC3" w:rsidRPr="002F3761">
        <w:rPr>
          <w:rFonts w:cs="Times New Roman"/>
          <w:szCs w:val="24"/>
        </w:rPr>
        <w:t>lyel kapcsolatosan az alapító, Shery Mead ezt fogalmazta meg:</w:t>
      </w:r>
    </w:p>
    <w:p w14:paraId="13688F06" w14:textId="77777777" w:rsidR="00676FC3" w:rsidRPr="002F3761" w:rsidRDefault="00676FC3" w:rsidP="002F3761">
      <w:pPr>
        <w:contextualSpacing/>
        <w:rPr>
          <w:rFonts w:cs="Times New Roman"/>
          <w:szCs w:val="24"/>
        </w:rPr>
      </w:pPr>
    </w:p>
    <w:p w14:paraId="2D439B28" w14:textId="77777777" w:rsidR="000466BD" w:rsidRPr="002F3761" w:rsidRDefault="00676FC3" w:rsidP="002F3761">
      <w:pPr>
        <w:ind w:left="708"/>
        <w:contextualSpacing/>
        <w:rPr>
          <w:rFonts w:cs="Times New Roman"/>
          <w:szCs w:val="24"/>
        </w:rPr>
      </w:pPr>
      <w:r w:rsidRPr="002F3761">
        <w:rPr>
          <w:rFonts w:cs="Times New Roman"/>
          <w:szCs w:val="24"/>
        </w:rPr>
        <w:t>„</w:t>
      </w:r>
      <w:r w:rsidR="001522C8" w:rsidRPr="002F3761">
        <w:rPr>
          <w:rFonts w:cs="Times New Roman"/>
          <w:szCs w:val="24"/>
        </w:rPr>
        <w:t xml:space="preserve">Amint egyre inkább növekszik a sorstársi támogatás a mentális egészségügyben, oda kell figyelnünk a szándékunkra: társadalmi változás. Ez nem a hatékonyabb szolgáltatások kifejlesztéséről szól, hanem sokkal inkább párbeszédek létrehozásáról, melyek </w:t>
      </w:r>
      <w:r w:rsidRPr="002F3761">
        <w:rPr>
          <w:rFonts w:cs="Times New Roman"/>
          <w:szCs w:val="24"/>
        </w:rPr>
        <w:t>hatással vannak a megértésre, a beszélgetésekre és a kapcsolatokra.”</w:t>
      </w:r>
      <w:r w:rsidRPr="002F3761">
        <w:rPr>
          <w:rStyle w:val="Lbjegyzet-hivatkozs"/>
          <w:rFonts w:cs="Times New Roman"/>
          <w:szCs w:val="24"/>
        </w:rPr>
        <w:footnoteReference w:id="125"/>
      </w:r>
    </w:p>
    <w:p w14:paraId="15A411AE" w14:textId="77777777" w:rsidR="00676FC3" w:rsidRPr="002F3761" w:rsidRDefault="00676FC3" w:rsidP="002F3761">
      <w:pPr>
        <w:contextualSpacing/>
        <w:rPr>
          <w:rFonts w:cs="Times New Roman"/>
          <w:szCs w:val="24"/>
        </w:rPr>
      </w:pPr>
    </w:p>
    <w:p w14:paraId="52470E9F" w14:textId="77777777" w:rsidR="00043761" w:rsidRPr="002F3761" w:rsidRDefault="00676FC3" w:rsidP="002F3761">
      <w:pPr>
        <w:contextualSpacing/>
        <w:rPr>
          <w:rFonts w:cs="Times New Roman"/>
          <w:szCs w:val="24"/>
        </w:rPr>
      </w:pPr>
      <w:r w:rsidRPr="002F3761">
        <w:rPr>
          <w:rFonts w:cs="Times New Roman"/>
          <w:szCs w:val="24"/>
        </w:rPr>
        <w:t>Az IPS olyan gondolkodásmód</w:t>
      </w:r>
      <w:r w:rsidR="00043761" w:rsidRPr="002F3761">
        <w:rPr>
          <w:rFonts w:cs="Times New Roman"/>
          <w:szCs w:val="24"/>
        </w:rPr>
        <w:t xml:space="preserve">, amely átalakítja a kapcsolatokat, segít a dolgokat új szemszögből nézni, valamint nagyobb hangsúlyt helyezni a személyes és kapcsolati mintákra, továbbá támogatni és kihívások elé állítani egymást az új dolgok kipróbálásában. </w:t>
      </w:r>
      <w:r w:rsidR="00F508DD" w:rsidRPr="002F3761">
        <w:rPr>
          <w:rFonts w:cs="Times New Roman"/>
          <w:szCs w:val="24"/>
        </w:rPr>
        <w:t>Az IPS különbözik a tradicionális szolgáltatási kapcsolatoktól az alábbiak miatt:</w:t>
      </w:r>
    </w:p>
    <w:p w14:paraId="0B08DA1F" w14:textId="77777777" w:rsidR="00F508DD" w:rsidRPr="002F3761" w:rsidRDefault="00F508DD" w:rsidP="002F3761">
      <w:pPr>
        <w:pStyle w:val="Listaszerbekezds"/>
        <w:numPr>
          <w:ilvl w:val="0"/>
          <w:numId w:val="27"/>
        </w:numPr>
        <w:rPr>
          <w:rFonts w:cs="Times New Roman"/>
          <w:szCs w:val="24"/>
        </w:rPr>
      </w:pPr>
      <w:r w:rsidRPr="002F3761">
        <w:rPr>
          <w:rFonts w:cs="Times New Roman"/>
          <w:i/>
          <w:szCs w:val="24"/>
        </w:rPr>
        <w:t>az IPS társkapcsolatokra épül</w:t>
      </w:r>
      <w:r w:rsidRPr="002F3761">
        <w:rPr>
          <w:rFonts w:cs="Times New Roman"/>
          <w:szCs w:val="24"/>
        </w:rPr>
        <w:t>, melynek lényege, hogy az abban résztvevő személyek tanuljanak és növekedjenek általa, és nem arról szól, hogy az egyik személy segíti a másikat;</w:t>
      </w:r>
    </w:p>
    <w:p w14:paraId="6DA485B7" w14:textId="77777777" w:rsidR="00F508DD" w:rsidRPr="002F3761" w:rsidRDefault="00F508DD" w:rsidP="002F3761">
      <w:pPr>
        <w:pStyle w:val="Listaszerbekezds"/>
        <w:numPr>
          <w:ilvl w:val="0"/>
          <w:numId w:val="27"/>
        </w:numPr>
        <w:rPr>
          <w:rFonts w:cs="Times New Roman"/>
          <w:szCs w:val="24"/>
        </w:rPr>
      </w:pPr>
      <w:r w:rsidRPr="002F3761">
        <w:rPr>
          <w:rFonts w:cs="Times New Roman"/>
          <w:i/>
          <w:szCs w:val="24"/>
        </w:rPr>
        <w:t>az IPS nem azzal indít, hogy feltételezi a problémát</w:t>
      </w:r>
      <w:r w:rsidR="00986800" w:rsidRPr="002F3761">
        <w:rPr>
          <w:rFonts w:cs="Times New Roman"/>
          <w:szCs w:val="24"/>
        </w:rPr>
        <w:t>; ez azt jelenti, hogy</w:t>
      </w:r>
      <w:r w:rsidRPr="002F3761">
        <w:rPr>
          <w:rFonts w:cs="Times New Roman"/>
          <w:szCs w:val="24"/>
        </w:rPr>
        <w:t xml:space="preserve"> figyelmet fordítanak a tapasztalatok értelmére és </w:t>
      </w:r>
      <w:r w:rsidR="00986800" w:rsidRPr="002F3761">
        <w:rPr>
          <w:rFonts w:cs="Times New Roman"/>
          <w:szCs w:val="24"/>
        </w:rPr>
        <w:t xml:space="preserve">kapcsolatokból fakadóan létrehozzák </w:t>
      </w:r>
      <w:r w:rsidRPr="002F3761">
        <w:rPr>
          <w:rFonts w:cs="Times New Roman"/>
          <w:szCs w:val="24"/>
        </w:rPr>
        <w:t>a látás, gondolk</w:t>
      </w:r>
      <w:r w:rsidR="00986800" w:rsidRPr="002F3761">
        <w:rPr>
          <w:rFonts w:cs="Times New Roman"/>
          <w:szCs w:val="24"/>
        </w:rPr>
        <w:t>odás és cselekvés új formáit;</w:t>
      </w:r>
    </w:p>
    <w:p w14:paraId="5BAAAEFF" w14:textId="77777777" w:rsidR="00986800" w:rsidRPr="002F3761" w:rsidRDefault="00986800" w:rsidP="002F3761">
      <w:pPr>
        <w:pStyle w:val="Listaszerbekezds"/>
        <w:numPr>
          <w:ilvl w:val="0"/>
          <w:numId w:val="27"/>
        </w:numPr>
        <w:rPr>
          <w:rFonts w:cs="Times New Roman"/>
          <w:szCs w:val="24"/>
        </w:rPr>
      </w:pPr>
      <w:r w:rsidRPr="002F3761">
        <w:rPr>
          <w:rFonts w:cs="Times New Roman"/>
          <w:i/>
          <w:szCs w:val="24"/>
        </w:rPr>
        <w:t>az IPS elősegíti a trauma-szenzitív kapcsolatot</w:t>
      </w:r>
      <w:r w:rsidRPr="002F3761">
        <w:rPr>
          <w:rFonts w:cs="Times New Roman"/>
          <w:szCs w:val="24"/>
        </w:rPr>
        <w:t xml:space="preserve">, ami megnyilvánulhat abban is, hogy miként kérdezünk, például, „Mi a baj?” helyett azt kérdezhetjük </w:t>
      </w:r>
      <w:r w:rsidR="004751CB" w:rsidRPr="002F3761">
        <w:rPr>
          <w:rFonts w:cs="Times New Roman"/>
          <w:szCs w:val="24"/>
        </w:rPr>
        <w:t>„Mi történt?”</w:t>
      </w:r>
    </w:p>
    <w:p w14:paraId="3E084DAB" w14:textId="77777777" w:rsidR="004751CB" w:rsidRPr="002F3761" w:rsidRDefault="004751CB" w:rsidP="002F3761">
      <w:pPr>
        <w:pStyle w:val="Listaszerbekezds"/>
        <w:numPr>
          <w:ilvl w:val="0"/>
          <w:numId w:val="27"/>
        </w:numPr>
        <w:rPr>
          <w:rFonts w:cs="Times New Roman"/>
          <w:szCs w:val="24"/>
        </w:rPr>
      </w:pPr>
      <w:r w:rsidRPr="002F3761">
        <w:rPr>
          <w:rFonts w:cs="Times New Roman"/>
          <w:i/>
          <w:szCs w:val="24"/>
        </w:rPr>
        <w:t>az IPS a kölcsönösen felelős kapcsolatok és közösségek kontextusában értelmezi az életünket</w:t>
      </w:r>
      <w:r w:rsidRPr="002F3761">
        <w:rPr>
          <w:rFonts w:cs="Times New Roman"/>
          <w:szCs w:val="24"/>
        </w:rPr>
        <w:t>, és az egyéni felelősségen túlra tekint a változások elérése érdekében;</w:t>
      </w:r>
    </w:p>
    <w:p w14:paraId="5F987B93" w14:textId="77777777" w:rsidR="004751CB" w:rsidRPr="002F3761" w:rsidRDefault="004751CB" w:rsidP="002F3761">
      <w:pPr>
        <w:pStyle w:val="Listaszerbekezds"/>
        <w:numPr>
          <w:ilvl w:val="0"/>
          <w:numId w:val="27"/>
        </w:numPr>
        <w:rPr>
          <w:rFonts w:cs="Times New Roman"/>
          <w:szCs w:val="24"/>
        </w:rPr>
      </w:pPr>
      <w:r w:rsidRPr="002F3761">
        <w:rPr>
          <w:rFonts w:cs="Times New Roman"/>
          <w:i/>
          <w:szCs w:val="24"/>
        </w:rPr>
        <w:lastRenderedPageBreak/>
        <w:t>az IPS arra bátorít, hogy egyre jobban éljük azt, mozduljunk afelé, amit akarunk</w:t>
      </w:r>
      <w:r w:rsidRPr="002F3761">
        <w:rPr>
          <w:rFonts w:cs="Times New Roman"/>
          <w:szCs w:val="24"/>
        </w:rPr>
        <w:t>, ahelyett, hogy arra fókuszáln</w:t>
      </w:r>
      <w:r w:rsidR="00E93847">
        <w:rPr>
          <w:rFonts w:cs="Times New Roman"/>
          <w:szCs w:val="24"/>
        </w:rPr>
        <w:t>ánk</w:t>
      </w:r>
      <w:r w:rsidRPr="002F3761">
        <w:rPr>
          <w:rFonts w:cs="Times New Roman"/>
          <w:szCs w:val="24"/>
        </w:rPr>
        <w:t>, mivel kell leállnunk, vagy mit kell elkerülnünk.</w:t>
      </w:r>
      <w:r w:rsidR="00D773FC" w:rsidRPr="002F3761">
        <w:rPr>
          <w:rStyle w:val="Lbjegyzet-hivatkozs"/>
          <w:rFonts w:cs="Times New Roman"/>
          <w:szCs w:val="24"/>
        </w:rPr>
        <w:footnoteReference w:id="126"/>
      </w:r>
    </w:p>
    <w:p w14:paraId="77C9AA2A" w14:textId="77777777" w:rsidR="004751CB" w:rsidRPr="002F3761" w:rsidRDefault="004751CB" w:rsidP="002F3761">
      <w:pPr>
        <w:rPr>
          <w:rFonts w:cs="Times New Roman"/>
          <w:szCs w:val="24"/>
        </w:rPr>
      </w:pPr>
    </w:p>
    <w:p w14:paraId="0E91FF74" w14:textId="095BDE3B" w:rsidR="000D64DB" w:rsidRPr="002F3761" w:rsidRDefault="000D64DB" w:rsidP="002F3761">
      <w:pPr>
        <w:rPr>
          <w:rFonts w:cs="Times New Roman"/>
          <w:szCs w:val="24"/>
        </w:rPr>
      </w:pPr>
      <w:r w:rsidRPr="002F3761">
        <w:rPr>
          <w:rFonts w:cs="Times New Roman"/>
          <w:szCs w:val="24"/>
        </w:rPr>
        <w:t xml:space="preserve">Az IPS különböző tréningeket dolgozott ki annak érdekében, hogy a fent megfogalmazott üzentet átadja. </w:t>
      </w:r>
      <w:r w:rsidR="00D634B4" w:rsidRPr="002F3761">
        <w:rPr>
          <w:rFonts w:cs="Times New Roman"/>
          <w:szCs w:val="24"/>
        </w:rPr>
        <w:t>Az A</w:t>
      </w:r>
      <w:r w:rsidRPr="002F3761">
        <w:rPr>
          <w:rFonts w:cs="Times New Roman"/>
          <w:szCs w:val="24"/>
        </w:rPr>
        <w:t xml:space="preserve">laptréning egy 5 napos tanulási folyamat. Az IPS közel 20 éve tart </w:t>
      </w:r>
      <w:r w:rsidR="00D634B4" w:rsidRPr="002F3761">
        <w:rPr>
          <w:rFonts w:cs="Times New Roman"/>
          <w:szCs w:val="24"/>
        </w:rPr>
        <w:t>Shery Mead gondolatain alapuló</w:t>
      </w:r>
      <w:r w:rsidR="00D634B4" w:rsidRPr="002F3761">
        <w:rPr>
          <w:rFonts w:cs="Times New Roman"/>
          <w:szCs w:val="24"/>
          <w:vertAlign w:val="superscript"/>
        </w:rPr>
        <w:footnoteReference w:id="127"/>
      </w:r>
      <w:r w:rsidR="00D634B4" w:rsidRPr="002F3761">
        <w:rPr>
          <w:rFonts w:cs="Times New Roman"/>
          <w:szCs w:val="24"/>
        </w:rPr>
        <w:t xml:space="preserve"> </w:t>
      </w:r>
      <w:r w:rsidRPr="002F3761">
        <w:rPr>
          <w:rFonts w:cs="Times New Roman"/>
          <w:szCs w:val="24"/>
        </w:rPr>
        <w:t>tréningeket szerte a világban mindazok számára, akik szolgáltatásokat nyújtanak, sorstársi támogatásban/önsegítésben vesznek részt vagy a közösség tagjaiként érdeklődést mutatnak</w:t>
      </w:r>
      <w:r w:rsidR="00474478">
        <w:rPr>
          <w:rFonts w:cs="Times New Roman"/>
          <w:szCs w:val="24"/>
        </w:rPr>
        <w:t xml:space="preserve"> azzal kapcsolatosan</w:t>
      </w:r>
      <w:r w:rsidRPr="002F3761">
        <w:rPr>
          <w:rFonts w:cs="Times New Roman"/>
          <w:szCs w:val="24"/>
        </w:rPr>
        <w:t xml:space="preserve">, hogy miként építsenek kölcsönösségen alapuló kapcsolatokat. </w:t>
      </w:r>
      <w:r w:rsidR="00D634B4" w:rsidRPr="002F3761">
        <w:rPr>
          <w:rFonts w:cs="Times New Roman"/>
          <w:szCs w:val="24"/>
        </w:rPr>
        <w:t>Az Alaptréning elvégzése és a</w:t>
      </w:r>
      <w:r w:rsidR="00BE5631" w:rsidRPr="002F3761">
        <w:rPr>
          <w:rFonts w:cs="Times New Roman"/>
          <w:szCs w:val="24"/>
        </w:rPr>
        <w:t>z IPS területen elkezdett munka a feltétele az IPS Haladó tréningnek, mely 4 napból áll és célja az IPS gyakorlati tapasztalatainak elmélyítése. Az IPS a képzők képzésére is hangsúlyt fektet, erre egy 5 napos tréninget dolgoztak ki. Mindemellett az IPS flexibilis tréningeket is tart, ha ilyen jellegű igény</w:t>
      </w:r>
      <w:r w:rsidR="00263CBD" w:rsidRPr="002F3761">
        <w:rPr>
          <w:rFonts w:cs="Times New Roman"/>
          <w:szCs w:val="24"/>
        </w:rPr>
        <w:t xml:space="preserve"> </w:t>
      </w:r>
      <w:r w:rsidR="00BE5631" w:rsidRPr="002F3761">
        <w:rPr>
          <w:rFonts w:cs="Times New Roman"/>
          <w:szCs w:val="24"/>
        </w:rPr>
        <w:t>érkezik hozzájuk.</w:t>
      </w:r>
      <w:r w:rsidR="00BE5631" w:rsidRPr="002F3761">
        <w:rPr>
          <w:rStyle w:val="Lbjegyzet-hivatkozs"/>
          <w:rFonts w:cs="Times New Roman"/>
          <w:szCs w:val="24"/>
        </w:rPr>
        <w:footnoteReference w:id="128"/>
      </w:r>
    </w:p>
    <w:p w14:paraId="1201B1BA" w14:textId="77777777" w:rsidR="00C51EBB" w:rsidRPr="002F3761" w:rsidRDefault="00C51EBB" w:rsidP="002F3761">
      <w:pPr>
        <w:contextualSpacing/>
        <w:rPr>
          <w:rFonts w:cs="Times New Roman"/>
          <w:szCs w:val="24"/>
        </w:rPr>
      </w:pPr>
    </w:p>
    <w:p w14:paraId="660BE2F7" w14:textId="00A37C4A" w:rsidR="00B14A5F" w:rsidRPr="000B427C" w:rsidRDefault="00804684" w:rsidP="000B427C">
      <w:pPr>
        <w:pStyle w:val="Cmsor2"/>
        <w:rPr>
          <w:rFonts w:ascii="Times New Roman" w:hAnsi="Times New Roman" w:cs="Times New Roman"/>
          <w:color w:val="auto"/>
        </w:rPr>
      </w:pPr>
      <w:bookmarkStart w:id="22" w:name="_Toc451515112"/>
      <w:r w:rsidRPr="000B427C">
        <w:rPr>
          <w:rFonts w:ascii="Times New Roman" w:hAnsi="Times New Roman" w:cs="Times New Roman"/>
          <w:color w:val="auto"/>
        </w:rPr>
        <w:t>5.2.</w:t>
      </w:r>
      <w:r w:rsidR="001023CD" w:rsidRPr="000B427C">
        <w:rPr>
          <w:rFonts w:ascii="Times New Roman" w:hAnsi="Times New Roman" w:cs="Times New Roman"/>
          <w:color w:val="auto"/>
        </w:rPr>
        <w:t xml:space="preserve"> Felépülés alapú szolgáltatások</w:t>
      </w:r>
      <w:bookmarkEnd w:id="22"/>
    </w:p>
    <w:p w14:paraId="710F18FC" w14:textId="77777777" w:rsidR="007F3FBB" w:rsidRPr="002F3761" w:rsidRDefault="007F3FBB" w:rsidP="002F3761">
      <w:pPr>
        <w:contextualSpacing/>
        <w:rPr>
          <w:rFonts w:cs="Times New Roman"/>
          <w:szCs w:val="24"/>
        </w:rPr>
      </w:pPr>
    </w:p>
    <w:p w14:paraId="6B3E7407" w14:textId="77777777" w:rsidR="00F4538E" w:rsidRPr="002F3761" w:rsidRDefault="00816A34" w:rsidP="002F3761">
      <w:pPr>
        <w:contextualSpacing/>
        <w:rPr>
          <w:rFonts w:cs="Times New Roman"/>
          <w:szCs w:val="24"/>
        </w:rPr>
      </w:pPr>
      <w:r w:rsidRPr="002F3761">
        <w:rPr>
          <w:rFonts w:cs="Times New Roman"/>
          <w:szCs w:val="24"/>
        </w:rPr>
        <w:t>A felépülés nem</w:t>
      </w:r>
      <w:r w:rsidR="00784B11" w:rsidRPr="002F3761">
        <w:rPr>
          <w:rFonts w:cs="Times New Roman"/>
          <w:szCs w:val="24"/>
        </w:rPr>
        <w:t>-</w:t>
      </w:r>
      <w:r w:rsidRPr="002F3761">
        <w:rPr>
          <w:rFonts w:cs="Times New Roman"/>
          <w:szCs w:val="24"/>
        </w:rPr>
        <w:t>medikális paradigmájáról hazánkban már folyik diskurzus. Amint Gombos Gábor rámutat a „Mi a pszichoszociális fogyatékosság?”</w:t>
      </w:r>
      <w:r w:rsidRPr="002F3761">
        <w:rPr>
          <w:rStyle w:val="Lbjegyzet-hivatkozs"/>
          <w:rFonts w:cs="Times New Roman"/>
          <w:szCs w:val="24"/>
        </w:rPr>
        <w:footnoteReference w:id="129"/>
      </w:r>
      <w:r w:rsidRPr="002F3761">
        <w:rPr>
          <w:rFonts w:cs="Times New Roman"/>
          <w:szCs w:val="24"/>
        </w:rPr>
        <w:t xml:space="preserve"> című írásában, a Soteria Alapítvány</w:t>
      </w:r>
      <w:r w:rsidR="007C2E8F" w:rsidRPr="002F3761">
        <w:rPr>
          <w:rFonts w:cs="Times New Roman"/>
          <w:szCs w:val="24"/>
        </w:rPr>
        <w:t xml:space="preserve"> folytat e paradigmán alapuló rehabilitációt és Bugarszki Zsolt publikált tanulmányokat e </w:t>
      </w:r>
      <w:r w:rsidR="00784B11" w:rsidRPr="002F3761">
        <w:rPr>
          <w:rFonts w:cs="Times New Roman"/>
          <w:szCs w:val="24"/>
        </w:rPr>
        <w:t>témakörben</w:t>
      </w:r>
      <w:r w:rsidR="007C2E8F" w:rsidRPr="002F3761">
        <w:rPr>
          <w:rFonts w:cs="Times New Roman"/>
          <w:szCs w:val="24"/>
        </w:rPr>
        <w:t>.</w:t>
      </w:r>
      <w:r w:rsidR="007C2E8F" w:rsidRPr="002F3761">
        <w:rPr>
          <w:rStyle w:val="Lbjegyzet-hivatkozs"/>
          <w:rFonts w:cs="Times New Roman"/>
          <w:szCs w:val="24"/>
        </w:rPr>
        <w:footnoteReference w:id="130"/>
      </w:r>
      <w:r w:rsidR="00F4538E" w:rsidRPr="002F3761">
        <w:rPr>
          <w:rFonts w:cs="Times New Roman"/>
          <w:szCs w:val="24"/>
        </w:rPr>
        <w:t xml:space="preserve"> </w:t>
      </w:r>
    </w:p>
    <w:p w14:paraId="55F633BE" w14:textId="77777777" w:rsidR="00F4538E" w:rsidRPr="002F3761" w:rsidRDefault="00F4538E" w:rsidP="002F3761">
      <w:pPr>
        <w:contextualSpacing/>
        <w:rPr>
          <w:rFonts w:cs="Times New Roman"/>
          <w:szCs w:val="24"/>
        </w:rPr>
      </w:pPr>
    </w:p>
    <w:p w14:paraId="612BDBF5" w14:textId="77777777" w:rsidR="00B2198D" w:rsidRPr="002F3761" w:rsidRDefault="00B2198D" w:rsidP="002F3761">
      <w:pPr>
        <w:contextualSpacing/>
        <w:rPr>
          <w:rFonts w:cs="Times New Roman"/>
          <w:szCs w:val="24"/>
        </w:rPr>
      </w:pPr>
      <w:r w:rsidRPr="002F3761">
        <w:rPr>
          <w:rFonts w:cs="Times New Roman"/>
          <w:szCs w:val="24"/>
        </w:rPr>
        <w:t>A felépülés</w:t>
      </w:r>
    </w:p>
    <w:p w14:paraId="6AA24155" w14:textId="77777777" w:rsidR="00B2198D" w:rsidRPr="002F3761" w:rsidRDefault="00B2198D" w:rsidP="002F3761">
      <w:pPr>
        <w:pStyle w:val="Listaszerbekezds"/>
        <w:numPr>
          <w:ilvl w:val="0"/>
          <w:numId w:val="22"/>
        </w:numPr>
        <w:rPr>
          <w:rFonts w:cs="Times New Roman"/>
          <w:szCs w:val="24"/>
        </w:rPr>
      </w:pPr>
      <w:r w:rsidRPr="002F3761">
        <w:rPr>
          <w:rFonts w:cs="Times New Roman"/>
          <w:szCs w:val="24"/>
        </w:rPr>
        <w:t>alapját az érintettek saját tapasztalatai és öndefiníciói adják;</w:t>
      </w:r>
      <w:r w:rsidRPr="002F3761">
        <w:rPr>
          <w:rStyle w:val="Lbjegyzet-hivatkozs"/>
          <w:rFonts w:cs="Times New Roman"/>
          <w:szCs w:val="24"/>
        </w:rPr>
        <w:footnoteReference w:id="131"/>
      </w:r>
    </w:p>
    <w:p w14:paraId="6DB15954" w14:textId="77777777" w:rsidR="00B2198D" w:rsidRPr="002F3761" w:rsidRDefault="00B2198D" w:rsidP="002F3761">
      <w:pPr>
        <w:pStyle w:val="Listaszerbekezds"/>
        <w:numPr>
          <w:ilvl w:val="0"/>
          <w:numId w:val="22"/>
        </w:numPr>
        <w:rPr>
          <w:rFonts w:cs="Times New Roman"/>
          <w:szCs w:val="24"/>
        </w:rPr>
      </w:pPr>
      <w:r w:rsidRPr="002F3761">
        <w:rPr>
          <w:rFonts w:cs="Times New Roman"/>
          <w:szCs w:val="24"/>
        </w:rPr>
        <w:t>egy olyan folyamat, amely lényegileg különbözik a terápia és a gyógyítás módszerétől;</w:t>
      </w:r>
      <w:r w:rsidR="009E0DA3" w:rsidRPr="002F3761">
        <w:rPr>
          <w:rStyle w:val="Lbjegyzet-hivatkozs"/>
          <w:rFonts w:cs="Times New Roman"/>
          <w:szCs w:val="24"/>
        </w:rPr>
        <w:footnoteReference w:id="132"/>
      </w:r>
    </w:p>
    <w:p w14:paraId="47BCEA98" w14:textId="77777777" w:rsidR="00B2198D" w:rsidRPr="002F3761" w:rsidRDefault="00B2198D" w:rsidP="002F3761">
      <w:pPr>
        <w:pStyle w:val="Listaszerbekezds"/>
        <w:numPr>
          <w:ilvl w:val="0"/>
          <w:numId w:val="22"/>
        </w:numPr>
        <w:rPr>
          <w:rFonts w:cs="Times New Roman"/>
          <w:szCs w:val="24"/>
        </w:rPr>
      </w:pPr>
      <w:r w:rsidRPr="002F3761">
        <w:rPr>
          <w:rFonts w:cs="Times New Roman"/>
          <w:szCs w:val="24"/>
        </w:rPr>
        <w:t>megtörténhet annak ellenére is, hogy az érintett személy a „betegségéből” nem gyógyul ki;</w:t>
      </w:r>
      <w:r w:rsidR="009E0DA3" w:rsidRPr="002F3761">
        <w:rPr>
          <w:rStyle w:val="Lbjegyzet-hivatkozs"/>
          <w:rFonts w:cs="Times New Roman"/>
          <w:szCs w:val="24"/>
        </w:rPr>
        <w:footnoteReference w:id="133"/>
      </w:r>
    </w:p>
    <w:p w14:paraId="3580A575" w14:textId="77777777" w:rsidR="009E0DA3" w:rsidRPr="002F3761" w:rsidRDefault="009E0DA3" w:rsidP="002F3761">
      <w:pPr>
        <w:pStyle w:val="Listaszerbekezds"/>
        <w:numPr>
          <w:ilvl w:val="0"/>
          <w:numId w:val="22"/>
        </w:numPr>
        <w:rPr>
          <w:rFonts w:cs="Times New Roman"/>
          <w:szCs w:val="24"/>
        </w:rPr>
      </w:pPr>
      <w:r w:rsidRPr="002F3761">
        <w:rPr>
          <w:rFonts w:cs="Times New Roman"/>
          <w:szCs w:val="24"/>
        </w:rPr>
        <w:t>az a folyamat, melynek során reményteljes és odaadó élete lehet valakinek, annak ellenére, hogy a meglévő károsodások nem tűnnek el;</w:t>
      </w:r>
      <w:r w:rsidRPr="002F3761">
        <w:rPr>
          <w:rStyle w:val="Lbjegyzet-hivatkozs"/>
          <w:rFonts w:cs="Times New Roman"/>
          <w:szCs w:val="24"/>
        </w:rPr>
        <w:footnoteReference w:id="134"/>
      </w:r>
    </w:p>
    <w:p w14:paraId="235843FC" w14:textId="5D564E3E" w:rsidR="00B2198D" w:rsidRPr="002F3761" w:rsidRDefault="00EB6192" w:rsidP="002F3761">
      <w:pPr>
        <w:pStyle w:val="Listaszerbekezds"/>
        <w:numPr>
          <w:ilvl w:val="0"/>
          <w:numId w:val="22"/>
        </w:numPr>
        <w:rPr>
          <w:rFonts w:cs="Times New Roman"/>
          <w:szCs w:val="24"/>
        </w:rPr>
      </w:pPr>
      <w:r w:rsidRPr="002F3761">
        <w:rPr>
          <w:rFonts w:cs="Times New Roman"/>
          <w:szCs w:val="24"/>
        </w:rPr>
        <w:t>egy életmód, egy attitűd, egy fajta szembenézés a kihívásokkal</w:t>
      </w:r>
      <w:r w:rsidR="001D1FC2">
        <w:rPr>
          <w:rFonts w:cs="Times New Roman"/>
          <w:szCs w:val="24"/>
        </w:rPr>
        <w:t>.</w:t>
      </w:r>
      <w:r w:rsidR="009E0DA3" w:rsidRPr="002F3761">
        <w:rPr>
          <w:rStyle w:val="Lbjegyzet-hivatkozs"/>
          <w:rFonts w:cs="Times New Roman"/>
          <w:szCs w:val="24"/>
        </w:rPr>
        <w:footnoteReference w:id="135"/>
      </w:r>
    </w:p>
    <w:p w14:paraId="0C34E328" w14:textId="77777777" w:rsidR="00A8668C" w:rsidRPr="002F3761" w:rsidRDefault="00A8668C" w:rsidP="002F3761">
      <w:pPr>
        <w:contextualSpacing/>
        <w:rPr>
          <w:rFonts w:cs="Times New Roman"/>
          <w:szCs w:val="24"/>
        </w:rPr>
      </w:pPr>
    </w:p>
    <w:p w14:paraId="63FB2961" w14:textId="77777777" w:rsidR="00D07119" w:rsidRPr="002F3761" w:rsidRDefault="00784B11" w:rsidP="002F3761">
      <w:pPr>
        <w:contextualSpacing/>
        <w:rPr>
          <w:rFonts w:cs="Times New Roman"/>
          <w:szCs w:val="24"/>
        </w:rPr>
      </w:pPr>
      <w:r w:rsidRPr="002F3761">
        <w:rPr>
          <w:rFonts w:cs="Times New Roman"/>
          <w:szCs w:val="24"/>
        </w:rPr>
        <w:t xml:space="preserve">A felépülés paradigmáján alapuló egyik modell az </w:t>
      </w:r>
      <w:r w:rsidR="004B37AA" w:rsidRPr="002F3761">
        <w:rPr>
          <w:rFonts w:cs="Times New Roman"/>
          <w:i/>
          <w:szCs w:val="24"/>
        </w:rPr>
        <w:t>Árapály Modell (Tidal Model)</w:t>
      </w:r>
      <w:r w:rsidRPr="002F3761">
        <w:rPr>
          <w:rFonts w:cs="Times New Roman"/>
          <w:szCs w:val="24"/>
        </w:rPr>
        <w:t xml:space="preserve">, melyet </w:t>
      </w:r>
      <w:r w:rsidR="00AD45DB" w:rsidRPr="002F3761">
        <w:rPr>
          <w:rFonts w:cs="Times New Roman"/>
          <w:szCs w:val="24"/>
        </w:rPr>
        <w:t xml:space="preserve">egy öt éven át tartó, </w:t>
      </w:r>
      <w:r w:rsidR="00763E43" w:rsidRPr="002F3761">
        <w:rPr>
          <w:rFonts w:cs="Times New Roman"/>
          <w:szCs w:val="24"/>
        </w:rPr>
        <w:t>az angliai Newcastle-b</w:t>
      </w:r>
      <w:r w:rsidR="007E084D" w:rsidRPr="002F3761">
        <w:rPr>
          <w:rFonts w:cs="Times New Roman"/>
          <w:szCs w:val="24"/>
        </w:rPr>
        <w:t>en folytatott kutatás inspirált a 1990-es években.</w:t>
      </w:r>
      <w:r w:rsidR="004B37AA" w:rsidRPr="002F3761">
        <w:rPr>
          <w:rFonts w:cs="Times New Roman"/>
          <w:szCs w:val="24"/>
        </w:rPr>
        <w:t xml:space="preserve"> Az irányzat „Árapály Modell” elnevezése a káosz teória központi filozófiai metaforája </w:t>
      </w:r>
      <w:r w:rsidR="00374B41" w:rsidRPr="002F3761">
        <w:rPr>
          <w:rFonts w:cs="Times New Roman"/>
          <w:szCs w:val="24"/>
        </w:rPr>
        <w:t xml:space="preserve">nyomán </w:t>
      </w:r>
      <w:r w:rsidR="00374B41" w:rsidRPr="002F3761">
        <w:rPr>
          <w:rFonts w:cs="Times New Roman"/>
          <w:szCs w:val="24"/>
        </w:rPr>
        <w:lastRenderedPageBreak/>
        <w:t xml:space="preserve">született. </w:t>
      </w:r>
      <w:r w:rsidR="00B51C15" w:rsidRPr="002F3761">
        <w:rPr>
          <w:rFonts w:cs="Times New Roman"/>
          <w:szCs w:val="24"/>
        </w:rPr>
        <w:t>A metaforák</w:t>
      </w:r>
      <w:r w:rsidR="00F350C9" w:rsidRPr="002F3761">
        <w:rPr>
          <w:rFonts w:cs="Times New Roman"/>
          <w:szCs w:val="24"/>
        </w:rPr>
        <w:t xml:space="preserve"> és a nyelv használata, valamint a személyes történetek</w:t>
      </w:r>
      <w:r w:rsidR="00B51C15" w:rsidRPr="002F3761">
        <w:rPr>
          <w:rFonts w:cs="Times New Roman"/>
          <w:szCs w:val="24"/>
        </w:rPr>
        <w:t xml:space="preserve"> központi szerepet töltenek be a modellbe</w:t>
      </w:r>
      <w:r w:rsidR="00F350C9" w:rsidRPr="002F3761">
        <w:rPr>
          <w:rFonts w:cs="Times New Roman"/>
          <w:szCs w:val="24"/>
        </w:rPr>
        <w:t>n. Az Árapály Modell</w:t>
      </w:r>
      <w:r w:rsidR="00D07119" w:rsidRPr="002F3761">
        <w:rPr>
          <w:rFonts w:cs="Times New Roman"/>
          <w:szCs w:val="24"/>
        </w:rPr>
        <w:t xml:space="preserve"> </w:t>
      </w:r>
      <w:r w:rsidR="00F350C9" w:rsidRPr="002F3761">
        <w:rPr>
          <w:rFonts w:cs="Times New Roman"/>
          <w:szCs w:val="24"/>
        </w:rPr>
        <w:t>az első mentális egészség</w:t>
      </w:r>
      <w:r w:rsidR="00D07119" w:rsidRPr="002F3761">
        <w:rPr>
          <w:rFonts w:cs="Times New Roman"/>
          <w:szCs w:val="24"/>
        </w:rPr>
        <w:t xml:space="preserve"> területét érintő</w:t>
      </w:r>
      <w:r w:rsidR="00F350C9" w:rsidRPr="002F3761">
        <w:rPr>
          <w:rFonts w:cs="Times New Roman"/>
          <w:szCs w:val="24"/>
        </w:rPr>
        <w:t xml:space="preserve"> felépülési modell, melyet </w:t>
      </w:r>
      <w:r w:rsidR="00D07119" w:rsidRPr="002F3761">
        <w:rPr>
          <w:rFonts w:cs="Times New Roman"/>
          <w:szCs w:val="24"/>
        </w:rPr>
        <w:t xml:space="preserve">felhasználók és </w:t>
      </w:r>
      <w:r w:rsidR="00F350C9" w:rsidRPr="002F3761">
        <w:rPr>
          <w:rFonts w:cs="Times New Roman"/>
          <w:szCs w:val="24"/>
        </w:rPr>
        <w:t>ezen a területen dolgozó</w:t>
      </w:r>
      <w:r w:rsidR="00D07119" w:rsidRPr="002F3761">
        <w:rPr>
          <w:rFonts w:cs="Times New Roman"/>
          <w:szCs w:val="24"/>
        </w:rPr>
        <w:t>k</w:t>
      </w:r>
      <w:r w:rsidR="00F350C9" w:rsidRPr="002F3761">
        <w:rPr>
          <w:rFonts w:cs="Times New Roman"/>
          <w:szCs w:val="24"/>
        </w:rPr>
        <w:t xml:space="preserve"> </w:t>
      </w:r>
      <w:r w:rsidR="00D07119" w:rsidRPr="002F3761">
        <w:rPr>
          <w:rFonts w:cs="Times New Roman"/>
          <w:szCs w:val="24"/>
        </w:rPr>
        <w:t>fejlesztettek ki és amelyet a mentális egészség területén dolgozók nemzetközi szinten is elismernek.</w:t>
      </w:r>
      <w:r w:rsidR="00D07119" w:rsidRPr="002F3761">
        <w:rPr>
          <w:rStyle w:val="Lbjegyzet-hivatkozs"/>
          <w:rFonts w:cs="Times New Roman"/>
          <w:szCs w:val="24"/>
        </w:rPr>
        <w:footnoteReference w:id="136"/>
      </w:r>
    </w:p>
    <w:p w14:paraId="356F62C1" w14:textId="77777777" w:rsidR="00F350C9" w:rsidRPr="002F3761" w:rsidRDefault="00F350C9" w:rsidP="002F3761">
      <w:pPr>
        <w:rPr>
          <w:rFonts w:cs="Times New Roman"/>
          <w:szCs w:val="24"/>
        </w:rPr>
      </w:pPr>
    </w:p>
    <w:p w14:paraId="0D2C4AE7" w14:textId="77777777" w:rsidR="00AD45DB" w:rsidRPr="002F3761" w:rsidRDefault="00374B41" w:rsidP="002F3761">
      <w:pPr>
        <w:rPr>
          <w:rFonts w:cs="Times New Roman"/>
          <w:szCs w:val="24"/>
        </w:rPr>
      </w:pPr>
      <w:r w:rsidRPr="002F3761">
        <w:rPr>
          <w:rFonts w:cs="Times New Roman"/>
          <w:szCs w:val="24"/>
        </w:rPr>
        <w:t xml:space="preserve">Az Árapály Modell szerint a mentális jóllétünk </w:t>
      </w:r>
      <w:r w:rsidR="00483E5A" w:rsidRPr="002F3761">
        <w:rPr>
          <w:rFonts w:cs="Times New Roman"/>
          <w:szCs w:val="24"/>
        </w:rPr>
        <w:t xml:space="preserve">az egyéni élettapasztalatainktól függ, melyhez hozzátartozik önmagunk érzékelése, az észleléseink, a gondolataink és a cselekedeteink. Mindannyiunknak van egy, az élettapasztalatokból táplálkozó egyedi története, melynek lényegi részét képezik a másokkal folytatott interakciók. Ennek alapja az, hogy egymástól függünk, interdependensek vagyunk. Azok a személyek, akik valamilyen mentális problémával, pszichoszociális károsodással élnek, </w:t>
      </w:r>
      <w:r w:rsidR="008A799E" w:rsidRPr="002F3761">
        <w:rPr>
          <w:rFonts w:cs="Times New Roman"/>
          <w:szCs w:val="24"/>
        </w:rPr>
        <w:t xml:space="preserve">sokszor </w:t>
      </w:r>
      <w:r w:rsidR="00483E5A" w:rsidRPr="002F3761">
        <w:rPr>
          <w:rFonts w:cs="Times New Roman"/>
          <w:szCs w:val="24"/>
        </w:rPr>
        <w:t>felkavaró élettapasztalatokkal rendelkeznek</w:t>
      </w:r>
      <w:r w:rsidR="008A799E" w:rsidRPr="002F3761">
        <w:rPr>
          <w:rFonts w:cs="Times New Roman"/>
          <w:szCs w:val="24"/>
        </w:rPr>
        <w:t>, és csak úgy lehet támogatásokat nyújtani számukra, ha közel kerülünk hozzájuk, meghallgatjuk a személyes történetüket és tapasztalataikat, megértjük őket</w:t>
      </w:r>
      <w:r w:rsidR="00E93847">
        <w:rPr>
          <w:rFonts w:cs="Times New Roman"/>
          <w:szCs w:val="24"/>
        </w:rPr>
        <w:t>,</w:t>
      </w:r>
      <w:r w:rsidR="008A799E" w:rsidRPr="002F3761">
        <w:rPr>
          <w:rFonts w:cs="Times New Roman"/>
          <w:szCs w:val="24"/>
        </w:rPr>
        <w:t xml:space="preserve"> és velük együtt próbálunk megoldásokat keresni.</w:t>
      </w:r>
      <w:r w:rsidR="008A799E" w:rsidRPr="002F3761">
        <w:rPr>
          <w:rStyle w:val="Lbjegyzet-hivatkozs"/>
          <w:rFonts w:cs="Times New Roman"/>
          <w:szCs w:val="24"/>
        </w:rPr>
        <w:footnoteReference w:id="137"/>
      </w:r>
    </w:p>
    <w:p w14:paraId="774229A6" w14:textId="77777777" w:rsidR="008A799E" w:rsidRPr="002F3761" w:rsidRDefault="008A799E" w:rsidP="002F3761">
      <w:pPr>
        <w:rPr>
          <w:rFonts w:cs="Times New Roman"/>
          <w:szCs w:val="24"/>
        </w:rPr>
      </w:pPr>
    </w:p>
    <w:p w14:paraId="4044CC2D" w14:textId="77777777" w:rsidR="00274CE5" w:rsidRPr="002F3761" w:rsidRDefault="008A799E" w:rsidP="002F3761">
      <w:pPr>
        <w:rPr>
          <w:rFonts w:cs="Times New Roman"/>
          <w:szCs w:val="24"/>
        </w:rPr>
      </w:pPr>
      <w:r w:rsidRPr="002F3761">
        <w:rPr>
          <w:rFonts w:cs="Times New Roman"/>
          <w:szCs w:val="24"/>
        </w:rPr>
        <w:t>Phil Barker és Poppy Buchanan-Barker</w:t>
      </w:r>
      <w:r w:rsidR="00E93847">
        <w:rPr>
          <w:rFonts w:cs="Times New Roman"/>
          <w:szCs w:val="24"/>
        </w:rPr>
        <w:t>,</w:t>
      </w:r>
      <w:r w:rsidR="00536442" w:rsidRPr="002F3761">
        <w:rPr>
          <w:rFonts w:cs="Times New Roman"/>
          <w:szCs w:val="24"/>
        </w:rPr>
        <w:t xml:space="preserve"> az</w:t>
      </w:r>
      <w:r w:rsidR="00274CE5" w:rsidRPr="002F3761">
        <w:rPr>
          <w:rFonts w:cs="Times New Roman"/>
          <w:szCs w:val="24"/>
        </w:rPr>
        <w:t xml:space="preserve"> Árapály Modell</w:t>
      </w:r>
      <w:r w:rsidR="00536442" w:rsidRPr="002F3761">
        <w:rPr>
          <w:rFonts w:cs="Times New Roman"/>
          <w:szCs w:val="24"/>
        </w:rPr>
        <w:t xml:space="preserve"> kidolgozói,</w:t>
      </w:r>
      <w:r w:rsidR="00274CE5" w:rsidRPr="002F3761">
        <w:rPr>
          <w:rFonts w:cs="Times New Roman"/>
          <w:szCs w:val="24"/>
        </w:rPr>
        <w:t xml:space="preserve"> meghatároz</w:t>
      </w:r>
      <w:r w:rsidR="00536442" w:rsidRPr="002F3761">
        <w:rPr>
          <w:rFonts w:cs="Times New Roman"/>
          <w:szCs w:val="24"/>
        </w:rPr>
        <w:t>nak</w:t>
      </w:r>
      <w:r w:rsidR="00274CE5" w:rsidRPr="002F3761">
        <w:rPr>
          <w:rFonts w:cs="Times New Roman"/>
          <w:szCs w:val="24"/>
        </w:rPr>
        <w:t xml:space="preserve"> 10 </w:t>
      </w:r>
      <w:r w:rsidR="00536442" w:rsidRPr="002F3761">
        <w:rPr>
          <w:rFonts w:cs="Times New Roman"/>
          <w:szCs w:val="24"/>
        </w:rPr>
        <w:t xml:space="preserve">alapvető </w:t>
      </w:r>
      <w:r w:rsidR="00274CE5" w:rsidRPr="002F3761">
        <w:rPr>
          <w:rFonts w:cs="Times New Roman"/>
          <w:szCs w:val="24"/>
        </w:rPr>
        <w:t xml:space="preserve">kötelezettségvállalást, melyek a </w:t>
      </w:r>
      <w:r w:rsidR="00536442" w:rsidRPr="002F3761">
        <w:rPr>
          <w:rFonts w:cs="Times New Roman"/>
          <w:szCs w:val="24"/>
        </w:rPr>
        <w:t>másokkal való munkát segítik</w:t>
      </w:r>
      <w:r w:rsidR="00274CE5" w:rsidRPr="002F3761">
        <w:rPr>
          <w:rFonts w:cs="Times New Roman"/>
          <w:szCs w:val="24"/>
        </w:rPr>
        <w:t>:</w:t>
      </w:r>
    </w:p>
    <w:p w14:paraId="2A59B264" w14:textId="77777777" w:rsidR="00274CE5" w:rsidRPr="002F3761" w:rsidRDefault="00274CE5" w:rsidP="002F3761">
      <w:pPr>
        <w:pStyle w:val="Listaszerbekezds"/>
        <w:numPr>
          <w:ilvl w:val="0"/>
          <w:numId w:val="19"/>
        </w:numPr>
        <w:rPr>
          <w:rFonts w:cs="Times New Roman"/>
          <w:szCs w:val="24"/>
        </w:rPr>
      </w:pPr>
      <w:r w:rsidRPr="002F3761">
        <w:rPr>
          <w:rFonts w:cs="Times New Roman"/>
          <w:i/>
          <w:szCs w:val="24"/>
        </w:rPr>
        <w:t>Figyelj a</w:t>
      </w:r>
      <w:r w:rsidR="00536442" w:rsidRPr="002F3761">
        <w:rPr>
          <w:rFonts w:cs="Times New Roman"/>
          <w:i/>
          <w:szCs w:val="24"/>
        </w:rPr>
        <w:t>z érintett</w:t>
      </w:r>
      <w:r w:rsidRPr="002F3761">
        <w:rPr>
          <w:rFonts w:cs="Times New Roman"/>
          <w:i/>
          <w:szCs w:val="24"/>
        </w:rPr>
        <w:t xml:space="preserve"> személy élettörténetére</w:t>
      </w:r>
      <w:r w:rsidR="008525E5" w:rsidRPr="002F3761">
        <w:rPr>
          <w:rFonts w:cs="Times New Roman"/>
          <w:szCs w:val="24"/>
        </w:rPr>
        <w:t xml:space="preserve">: </w:t>
      </w:r>
      <w:r w:rsidR="00536442" w:rsidRPr="002F3761">
        <w:rPr>
          <w:rFonts w:cs="Times New Roman"/>
          <w:szCs w:val="24"/>
        </w:rPr>
        <w:t>ez a hozzáállás alfája és ómegája;</w:t>
      </w:r>
    </w:p>
    <w:p w14:paraId="4E1D6A36" w14:textId="77777777" w:rsidR="00274CE5" w:rsidRPr="002F3761" w:rsidRDefault="00274CE5" w:rsidP="002F3761">
      <w:pPr>
        <w:pStyle w:val="Listaszerbekezds"/>
        <w:numPr>
          <w:ilvl w:val="0"/>
          <w:numId w:val="19"/>
        </w:numPr>
        <w:rPr>
          <w:rFonts w:cs="Times New Roman"/>
          <w:szCs w:val="24"/>
        </w:rPr>
      </w:pPr>
      <w:r w:rsidRPr="002F3761">
        <w:rPr>
          <w:rFonts w:cs="Times New Roman"/>
          <w:i/>
          <w:szCs w:val="24"/>
        </w:rPr>
        <w:t>Tartsd tiszteletben a</w:t>
      </w:r>
      <w:r w:rsidR="00536442" w:rsidRPr="002F3761">
        <w:rPr>
          <w:rFonts w:cs="Times New Roman"/>
          <w:i/>
          <w:szCs w:val="24"/>
        </w:rPr>
        <w:t>z érintett személy</w:t>
      </w:r>
      <w:r w:rsidRPr="002F3761">
        <w:rPr>
          <w:rFonts w:cs="Times New Roman"/>
          <w:i/>
          <w:szCs w:val="24"/>
        </w:rPr>
        <w:t xml:space="preserve"> nyelvezet</w:t>
      </w:r>
      <w:r w:rsidR="00536442" w:rsidRPr="002F3761">
        <w:rPr>
          <w:rFonts w:cs="Times New Roman"/>
          <w:i/>
          <w:szCs w:val="24"/>
        </w:rPr>
        <w:t>é</w:t>
      </w:r>
      <w:r w:rsidRPr="002F3761">
        <w:rPr>
          <w:rFonts w:cs="Times New Roman"/>
          <w:i/>
          <w:szCs w:val="24"/>
        </w:rPr>
        <w:t>t</w:t>
      </w:r>
      <w:r w:rsidR="008525E5" w:rsidRPr="002F3761">
        <w:rPr>
          <w:rFonts w:cs="Times New Roman"/>
          <w:szCs w:val="24"/>
        </w:rPr>
        <w:t>: mindenki egyedi nyelvezetet használ az élettörténete elmondására, és ez – ideértve a sajátos nyelvtani szerkezetek és metaforák használatát – segíthet a felépülés felé vezető út feltárásában;</w:t>
      </w:r>
    </w:p>
    <w:p w14:paraId="5980892F" w14:textId="77777777" w:rsidR="00274CE5" w:rsidRPr="002F3761" w:rsidRDefault="00274CE5" w:rsidP="002F3761">
      <w:pPr>
        <w:pStyle w:val="Listaszerbekezds"/>
        <w:numPr>
          <w:ilvl w:val="0"/>
          <w:numId w:val="19"/>
        </w:numPr>
        <w:rPr>
          <w:rFonts w:cs="Times New Roman"/>
          <w:szCs w:val="24"/>
        </w:rPr>
      </w:pPr>
      <w:r w:rsidRPr="002F3761">
        <w:rPr>
          <w:rFonts w:cs="Times New Roman"/>
          <w:i/>
          <w:szCs w:val="24"/>
        </w:rPr>
        <w:t>Tanúsíts valódi odafigyelést</w:t>
      </w:r>
      <w:r w:rsidR="008525E5" w:rsidRPr="002F3761">
        <w:rPr>
          <w:rFonts w:cs="Times New Roman"/>
          <w:szCs w:val="24"/>
        </w:rPr>
        <w:t>: a személy élettörténete nem egy nyitott könyv, valódi tisztelettel kell odafigyelni, hogy a „mesélőt” megértsük;</w:t>
      </w:r>
    </w:p>
    <w:p w14:paraId="331BBBAC" w14:textId="77777777" w:rsidR="00274CE5" w:rsidRPr="002F3761" w:rsidRDefault="00274CE5" w:rsidP="002F3761">
      <w:pPr>
        <w:pStyle w:val="Listaszerbekezds"/>
        <w:numPr>
          <w:ilvl w:val="0"/>
          <w:numId w:val="19"/>
        </w:numPr>
        <w:rPr>
          <w:rFonts w:cs="Times New Roman"/>
          <w:szCs w:val="24"/>
        </w:rPr>
      </w:pPr>
      <w:r w:rsidRPr="002F3761">
        <w:rPr>
          <w:rFonts w:cs="Times New Roman"/>
          <w:i/>
          <w:szCs w:val="24"/>
        </w:rPr>
        <w:t>Légy tanítvány</w:t>
      </w:r>
      <w:r w:rsidR="00B51C15" w:rsidRPr="002F3761">
        <w:rPr>
          <w:rFonts w:cs="Times New Roman"/>
          <w:szCs w:val="24"/>
        </w:rPr>
        <w:t xml:space="preserve">: </w:t>
      </w:r>
      <w:r w:rsidR="00536442" w:rsidRPr="002F3761">
        <w:rPr>
          <w:rFonts w:cs="Times New Roman"/>
          <w:szCs w:val="24"/>
        </w:rPr>
        <w:t>a személy az, aki a saját életének a legjobb szakértője és sokat tanulhatunk tőle;</w:t>
      </w:r>
    </w:p>
    <w:p w14:paraId="49FB8907" w14:textId="77777777" w:rsidR="00274CE5" w:rsidRPr="002F3761" w:rsidRDefault="00274CE5" w:rsidP="002F3761">
      <w:pPr>
        <w:pStyle w:val="Listaszerbekezds"/>
        <w:numPr>
          <w:ilvl w:val="0"/>
          <w:numId w:val="19"/>
        </w:numPr>
        <w:rPr>
          <w:rFonts w:cs="Times New Roman"/>
          <w:szCs w:val="24"/>
        </w:rPr>
      </w:pPr>
      <w:r w:rsidRPr="002F3761">
        <w:rPr>
          <w:rFonts w:cs="Times New Roman"/>
          <w:i/>
          <w:szCs w:val="24"/>
        </w:rPr>
        <w:t>Tárd fel az érintett személyes bölcsességét</w:t>
      </w:r>
      <w:r w:rsidR="00B51C15" w:rsidRPr="002F3761">
        <w:rPr>
          <w:rFonts w:cs="Times New Roman"/>
          <w:szCs w:val="24"/>
        </w:rPr>
        <w:t xml:space="preserve">: </w:t>
      </w:r>
      <w:r w:rsidR="008525E5" w:rsidRPr="002F3761">
        <w:rPr>
          <w:rFonts w:cs="Times New Roman"/>
          <w:szCs w:val="24"/>
        </w:rPr>
        <w:t xml:space="preserve">az emberek hatalmas bölcsességgel rendelkeznek </w:t>
      </w:r>
      <w:r w:rsidR="00E93847" w:rsidRPr="002F3761">
        <w:rPr>
          <w:rFonts w:cs="Times New Roman"/>
          <w:szCs w:val="24"/>
        </w:rPr>
        <w:t>saját</w:t>
      </w:r>
      <w:r w:rsidR="008525E5" w:rsidRPr="002F3761">
        <w:rPr>
          <w:rFonts w:cs="Times New Roman"/>
          <w:szCs w:val="24"/>
        </w:rPr>
        <w:t xml:space="preserve"> magukkal, a világgal és másokkal kapcsolatosan;</w:t>
      </w:r>
    </w:p>
    <w:p w14:paraId="51C4BFB0" w14:textId="77777777" w:rsidR="00274CE5" w:rsidRPr="002F3761" w:rsidRDefault="00274CE5" w:rsidP="002F3761">
      <w:pPr>
        <w:pStyle w:val="Listaszerbekezds"/>
        <w:numPr>
          <w:ilvl w:val="0"/>
          <w:numId w:val="19"/>
        </w:numPr>
        <w:rPr>
          <w:rFonts w:cs="Times New Roman"/>
          <w:szCs w:val="24"/>
        </w:rPr>
      </w:pPr>
      <w:r w:rsidRPr="002F3761">
        <w:rPr>
          <w:rFonts w:cs="Times New Roman"/>
          <w:i/>
          <w:szCs w:val="24"/>
        </w:rPr>
        <w:t>Ne feledd, hogy a változás állandó</w:t>
      </w:r>
      <w:r w:rsidR="00B51C15" w:rsidRPr="002F3761">
        <w:rPr>
          <w:rFonts w:cs="Times New Roman"/>
          <w:szCs w:val="24"/>
        </w:rPr>
        <w:t xml:space="preserve">: </w:t>
      </w:r>
      <w:r w:rsidR="008525E5" w:rsidRPr="002F3761">
        <w:rPr>
          <w:rFonts w:cs="Times New Roman"/>
          <w:szCs w:val="24"/>
        </w:rPr>
        <w:t>segíteni kell, hogy a személy ismerettel rendelkezzen arról, miként történik a változás és, hogy miként tudja használni a tudását abban, hogy a veszélyből és szorongásból a biztonságba és a felépülésbe jusson;</w:t>
      </w:r>
    </w:p>
    <w:p w14:paraId="03FA9D3B" w14:textId="77777777" w:rsidR="00274CE5" w:rsidRPr="002F3761" w:rsidRDefault="00274CE5" w:rsidP="002F3761">
      <w:pPr>
        <w:pStyle w:val="Listaszerbekezds"/>
        <w:numPr>
          <w:ilvl w:val="0"/>
          <w:numId w:val="19"/>
        </w:numPr>
        <w:rPr>
          <w:rFonts w:cs="Times New Roman"/>
          <w:szCs w:val="24"/>
        </w:rPr>
      </w:pPr>
      <w:r w:rsidRPr="002F3761">
        <w:rPr>
          <w:rFonts w:cs="Times New Roman"/>
          <w:i/>
          <w:szCs w:val="24"/>
        </w:rPr>
        <w:t>Használd a feltárt ismereteket</w:t>
      </w:r>
      <w:r w:rsidR="00B51C15" w:rsidRPr="002F3761">
        <w:rPr>
          <w:rFonts w:cs="Times New Roman"/>
          <w:szCs w:val="24"/>
        </w:rPr>
        <w:t>: a személy életében számos dologról kiderül, hogy működött vagy sem az életében, vagy, hogy mi segíthet neki itt és most a felépülésében;</w:t>
      </w:r>
    </w:p>
    <w:p w14:paraId="406E8F30" w14:textId="77777777" w:rsidR="00274CE5" w:rsidRPr="002F3761" w:rsidRDefault="00274CE5" w:rsidP="002F3761">
      <w:pPr>
        <w:pStyle w:val="Listaszerbekezds"/>
        <w:numPr>
          <w:ilvl w:val="0"/>
          <w:numId w:val="19"/>
        </w:numPr>
        <w:rPr>
          <w:rFonts w:cs="Times New Roman"/>
          <w:szCs w:val="24"/>
        </w:rPr>
      </w:pPr>
      <w:r w:rsidRPr="002F3761">
        <w:rPr>
          <w:rFonts w:cs="Times New Roman"/>
          <w:i/>
          <w:szCs w:val="24"/>
        </w:rPr>
        <w:t>Munkáld meg a következő lépést</w:t>
      </w:r>
      <w:r w:rsidR="00B51C15" w:rsidRPr="002F3761">
        <w:rPr>
          <w:rFonts w:cs="Times New Roman"/>
          <w:szCs w:val="24"/>
        </w:rPr>
        <w:t>: támogatni kell a személyt abban, hogy mi történjen, mit kell tenni következő lépésként a felépülés elérése érdekében,</w:t>
      </w:r>
    </w:p>
    <w:p w14:paraId="6C780B76" w14:textId="77777777" w:rsidR="00B51C15" w:rsidRPr="002F3761" w:rsidRDefault="00B51C15" w:rsidP="002F3761">
      <w:pPr>
        <w:pStyle w:val="Listaszerbekezds"/>
        <w:numPr>
          <w:ilvl w:val="0"/>
          <w:numId w:val="19"/>
        </w:numPr>
        <w:rPr>
          <w:rFonts w:cs="Times New Roman"/>
          <w:szCs w:val="24"/>
        </w:rPr>
      </w:pPr>
      <w:r w:rsidRPr="002F3761">
        <w:rPr>
          <w:rFonts w:cs="Times New Roman"/>
          <w:i/>
          <w:szCs w:val="24"/>
        </w:rPr>
        <w:t>Add az idő ajándékát</w:t>
      </w:r>
      <w:r w:rsidRPr="002F3761">
        <w:rPr>
          <w:rFonts w:cs="Times New Roman"/>
          <w:szCs w:val="24"/>
        </w:rPr>
        <w:t>: a minőségi idő a változás elősegítője;</w:t>
      </w:r>
    </w:p>
    <w:p w14:paraId="545CA4B4" w14:textId="77777777" w:rsidR="00274CE5" w:rsidRPr="002F3761" w:rsidRDefault="00536442" w:rsidP="002F3761">
      <w:pPr>
        <w:pStyle w:val="Listaszerbekezds"/>
        <w:numPr>
          <w:ilvl w:val="0"/>
          <w:numId w:val="19"/>
        </w:numPr>
        <w:rPr>
          <w:rFonts w:cs="Times New Roman"/>
          <w:szCs w:val="24"/>
        </w:rPr>
      </w:pPr>
      <w:r w:rsidRPr="002F3761">
        <w:rPr>
          <w:rFonts w:cs="Times New Roman"/>
          <w:i/>
          <w:szCs w:val="24"/>
        </w:rPr>
        <w:t>Légy őszinte</w:t>
      </w:r>
      <w:r w:rsidR="00B51C15" w:rsidRPr="002F3761">
        <w:rPr>
          <w:rFonts w:cs="Times New Roman"/>
          <w:szCs w:val="24"/>
        </w:rPr>
        <w:t>: az érintett személy és a támogató egy csapatot kell, hogy alkosson, meg kell bízni egymásban és tisztelni kell egymást, őszintének és nyíltnak kell lenni egymással.</w:t>
      </w:r>
      <w:r w:rsidR="00B51C15" w:rsidRPr="002F3761">
        <w:rPr>
          <w:rStyle w:val="Lbjegyzet-hivatkozs"/>
          <w:rFonts w:cs="Times New Roman"/>
          <w:szCs w:val="24"/>
        </w:rPr>
        <w:footnoteReference w:id="138"/>
      </w:r>
    </w:p>
    <w:p w14:paraId="01276A88" w14:textId="77777777" w:rsidR="00274CE5" w:rsidRPr="002F3761" w:rsidRDefault="00274CE5" w:rsidP="002F3761">
      <w:pPr>
        <w:rPr>
          <w:rFonts w:cs="Times New Roman"/>
          <w:szCs w:val="24"/>
        </w:rPr>
      </w:pPr>
    </w:p>
    <w:p w14:paraId="602E8E6A" w14:textId="77777777" w:rsidR="00B51C15" w:rsidRPr="002F3761" w:rsidRDefault="00B51C15" w:rsidP="002F3761">
      <w:pPr>
        <w:rPr>
          <w:rFonts w:cs="Times New Roman"/>
          <w:szCs w:val="24"/>
        </w:rPr>
      </w:pPr>
      <w:r w:rsidRPr="002F3761">
        <w:rPr>
          <w:rFonts w:cs="Times New Roman"/>
          <w:szCs w:val="24"/>
        </w:rPr>
        <w:t>Az Árapály Modell a fentieken túl olyan kompetenciákat is meghatároz, melyeket a támogató, segítő személynek el kell tudni sajátítani</w:t>
      </w:r>
      <w:r w:rsidR="00E93847">
        <w:rPr>
          <w:rFonts w:cs="Times New Roman"/>
          <w:szCs w:val="24"/>
        </w:rPr>
        <w:t>a</w:t>
      </w:r>
      <w:r w:rsidRPr="002F3761">
        <w:rPr>
          <w:rFonts w:cs="Times New Roman"/>
          <w:szCs w:val="24"/>
        </w:rPr>
        <w:t>.</w:t>
      </w:r>
      <w:r w:rsidRPr="002F3761">
        <w:rPr>
          <w:rStyle w:val="Lbjegyzet-hivatkozs"/>
          <w:rFonts w:cs="Times New Roman"/>
          <w:szCs w:val="24"/>
        </w:rPr>
        <w:footnoteReference w:id="139"/>
      </w:r>
      <w:r w:rsidRPr="002F3761">
        <w:rPr>
          <w:rFonts w:cs="Times New Roman"/>
          <w:szCs w:val="24"/>
        </w:rPr>
        <w:t xml:space="preserve"> </w:t>
      </w:r>
      <w:r w:rsidR="003C2D9E" w:rsidRPr="002F3761">
        <w:rPr>
          <w:rFonts w:cs="Times New Roman"/>
          <w:szCs w:val="24"/>
        </w:rPr>
        <w:t>Ezek a kompetenciák a legkülönbözőbb helyzetekben kerülnek alkalmazásra:</w:t>
      </w:r>
    </w:p>
    <w:p w14:paraId="751A5C63" w14:textId="77777777" w:rsidR="003C2D9E" w:rsidRPr="002F3761" w:rsidRDefault="003C2D9E" w:rsidP="002F3761">
      <w:pPr>
        <w:rPr>
          <w:rFonts w:cs="Times New Roman"/>
          <w:szCs w:val="24"/>
        </w:rPr>
      </w:pPr>
    </w:p>
    <w:p w14:paraId="0F572C24" w14:textId="77777777" w:rsidR="003A1926" w:rsidRPr="002F3761" w:rsidRDefault="003A1926" w:rsidP="002F3761">
      <w:pPr>
        <w:rPr>
          <w:rFonts w:cs="Times New Roman"/>
          <w:szCs w:val="24"/>
        </w:rPr>
      </w:pPr>
      <w:r w:rsidRPr="002F3761">
        <w:rPr>
          <w:rFonts w:cs="Times New Roman"/>
          <w:szCs w:val="24"/>
        </w:rPr>
        <w:t xml:space="preserve">Ha az érintett személy azt mondja, hogy „nekem semmi bajom sincs”, az Árapály Modell </w:t>
      </w:r>
      <w:r w:rsidR="00E74F94" w:rsidRPr="002F3761">
        <w:rPr>
          <w:rFonts w:cs="Times New Roman"/>
          <w:szCs w:val="24"/>
        </w:rPr>
        <w:t>munkatársai</w:t>
      </w:r>
      <w:r w:rsidR="00EB6192" w:rsidRPr="002F3761">
        <w:rPr>
          <w:rFonts w:cs="Times New Roman"/>
          <w:szCs w:val="24"/>
        </w:rPr>
        <w:t xml:space="preserve"> szem előtt tartják azt a tapasztalatukat, hogy</w:t>
      </w:r>
      <w:r w:rsidRPr="002F3761">
        <w:rPr>
          <w:rFonts w:cs="Times New Roman"/>
          <w:szCs w:val="24"/>
        </w:rPr>
        <w:t xml:space="preserve"> számos ember </w:t>
      </w:r>
      <w:r w:rsidR="00E74F94" w:rsidRPr="002F3761">
        <w:rPr>
          <w:rFonts w:cs="Times New Roman"/>
          <w:szCs w:val="24"/>
        </w:rPr>
        <w:t>h</w:t>
      </w:r>
      <w:r w:rsidRPr="002F3761">
        <w:rPr>
          <w:rFonts w:cs="Times New Roman"/>
          <w:szCs w:val="24"/>
        </w:rPr>
        <w:t>iszi</w:t>
      </w:r>
      <w:r w:rsidR="00E74F94" w:rsidRPr="002F3761">
        <w:rPr>
          <w:rFonts w:cs="Times New Roman"/>
          <w:szCs w:val="24"/>
        </w:rPr>
        <w:t xml:space="preserve"> azt</w:t>
      </w:r>
      <w:r w:rsidRPr="002F3761">
        <w:rPr>
          <w:rFonts w:cs="Times New Roman"/>
          <w:szCs w:val="24"/>
        </w:rPr>
        <w:t xml:space="preserve"> – vagy legalábbis azt állítja –, hogy „nincs semmi baj”</w:t>
      </w:r>
      <w:r w:rsidR="00E74F94" w:rsidRPr="002F3761">
        <w:rPr>
          <w:rFonts w:cs="Times New Roman"/>
          <w:szCs w:val="24"/>
        </w:rPr>
        <w:t>, hacsak az nem, hogy a „problémáiról” kérdezgetik. Semmi értelme sincs annak, hogy ezt a személyt meggyőzzük arról, hogy „de igenis problémája van.” Ez csak veszélyeztetné a kapcsolat kialakítását, fenntartását. Ehelyett az Árapály Modell munkatársai elfogadják, amit a személy mond és megkérdezik, hogyan segíthetnek. Ha az érintett azt mondja „semmi bajom, hadd menjek haza”, akkor a válasz lehet, hogy „rendben, beszéljük meg, hogyan tudunk segíteni ebben”.</w:t>
      </w:r>
      <w:r w:rsidR="00F917D0" w:rsidRPr="002F3761">
        <w:rPr>
          <w:rFonts w:cs="Times New Roman"/>
          <w:szCs w:val="24"/>
        </w:rPr>
        <w:t xml:space="preserve"> A munkatársnak segítőkésznek kell lennie</w:t>
      </w:r>
      <w:r w:rsidR="00E93847">
        <w:rPr>
          <w:rFonts w:cs="Times New Roman"/>
          <w:szCs w:val="24"/>
        </w:rPr>
        <w:t>,</w:t>
      </w:r>
      <w:r w:rsidR="00F917D0" w:rsidRPr="002F3761">
        <w:rPr>
          <w:rFonts w:cs="Times New Roman"/>
          <w:szCs w:val="24"/>
        </w:rPr>
        <w:t xml:space="preserve"> arra kell fókuszálnia, hogyan tud segíteni, támogatóként fellépni.</w:t>
      </w:r>
      <w:r w:rsidR="00F917D0" w:rsidRPr="002F3761">
        <w:rPr>
          <w:rStyle w:val="Lbjegyzet-hivatkozs"/>
          <w:rFonts w:cs="Times New Roman"/>
          <w:szCs w:val="24"/>
        </w:rPr>
        <w:footnoteReference w:id="140"/>
      </w:r>
    </w:p>
    <w:p w14:paraId="1E452364" w14:textId="77777777" w:rsidR="003A1926" w:rsidRPr="002F3761" w:rsidRDefault="003A1926" w:rsidP="002F3761">
      <w:pPr>
        <w:rPr>
          <w:rFonts w:cs="Times New Roman"/>
          <w:szCs w:val="24"/>
        </w:rPr>
      </w:pPr>
    </w:p>
    <w:p w14:paraId="5D6B83A6" w14:textId="3CF326F1" w:rsidR="00C850A2" w:rsidRPr="002F3761" w:rsidRDefault="00C850A2" w:rsidP="002F3761">
      <w:pPr>
        <w:rPr>
          <w:rFonts w:cs="Times New Roman"/>
          <w:szCs w:val="24"/>
        </w:rPr>
      </w:pPr>
      <w:r w:rsidRPr="002F3761">
        <w:rPr>
          <w:rFonts w:cs="Times New Roman"/>
          <w:szCs w:val="24"/>
        </w:rPr>
        <w:t>Ha az érintett személy azt mondja, hogy „meg akarom ölni magam”, az Árapály Modell munkatársai</w:t>
      </w:r>
      <w:r w:rsidR="00EB6192" w:rsidRPr="002F3761">
        <w:rPr>
          <w:rFonts w:cs="Times New Roman"/>
          <w:szCs w:val="24"/>
        </w:rPr>
        <w:t xml:space="preserve"> tudatában vannak annak, hogy elég</w:t>
      </w:r>
      <w:r w:rsidRPr="002F3761">
        <w:rPr>
          <w:rFonts w:cs="Times New Roman"/>
          <w:szCs w:val="24"/>
        </w:rPr>
        <w:t xml:space="preserve"> sok emberrel találkoztak</w:t>
      </w:r>
      <w:r w:rsidR="00EB6192" w:rsidRPr="002F3761">
        <w:rPr>
          <w:rFonts w:cs="Times New Roman"/>
          <w:szCs w:val="24"/>
        </w:rPr>
        <w:t xml:space="preserve"> már</w:t>
      </w:r>
      <w:r w:rsidRPr="002F3761">
        <w:rPr>
          <w:rFonts w:cs="Times New Roman"/>
          <w:szCs w:val="24"/>
        </w:rPr>
        <w:t xml:space="preserve">, akik azt mondták, hogy „meg kell ölnöm magam” vagy, hogy „valahogy ártanom kell magamnak vagy valaki másnak”. Amikor az emberek zaklatottak, frusztráltak, dühösek, vagy valamilyen más nagy érzelmek hatása alatt állnak, akkor </w:t>
      </w:r>
      <w:r w:rsidR="001D1FC2">
        <w:rPr>
          <w:rFonts w:cs="Times New Roman"/>
          <w:szCs w:val="24"/>
        </w:rPr>
        <w:t>sok olyan</w:t>
      </w:r>
      <w:r w:rsidRPr="002F3761">
        <w:rPr>
          <w:rFonts w:cs="Times New Roman"/>
          <w:szCs w:val="24"/>
        </w:rPr>
        <w:t xml:space="preserve"> dolgot akarnak tenni, amelyet később megbánnának. Ilyen helyzetben az a feladat, hogy az érintett személy jobban érezze az érzelmi bizto</w:t>
      </w:r>
      <w:r w:rsidR="003C2D9E" w:rsidRPr="002F3761">
        <w:rPr>
          <w:rFonts w:cs="Times New Roman"/>
          <w:szCs w:val="24"/>
        </w:rPr>
        <w:t xml:space="preserve">nságot. </w:t>
      </w:r>
      <w:r w:rsidR="00E93847">
        <w:rPr>
          <w:rFonts w:cs="Times New Roman"/>
          <w:szCs w:val="24"/>
        </w:rPr>
        <w:t>A</w:t>
      </w:r>
      <w:r w:rsidR="003C2D9E" w:rsidRPr="002F3761">
        <w:rPr>
          <w:rFonts w:cs="Times New Roman"/>
          <w:szCs w:val="24"/>
        </w:rPr>
        <w:t xml:space="preserve"> beszélgetést </w:t>
      </w:r>
      <w:r w:rsidR="00EB6192" w:rsidRPr="002F3761">
        <w:rPr>
          <w:rFonts w:cs="Times New Roman"/>
          <w:szCs w:val="24"/>
        </w:rPr>
        <w:t xml:space="preserve">el </w:t>
      </w:r>
      <w:r w:rsidR="003C2D9E" w:rsidRPr="002F3761">
        <w:rPr>
          <w:rFonts w:cs="Times New Roman"/>
          <w:szCs w:val="24"/>
        </w:rPr>
        <w:t>lehet kezdeni</w:t>
      </w:r>
      <w:r w:rsidR="00EB6192" w:rsidRPr="002F3761">
        <w:rPr>
          <w:rFonts w:cs="Times New Roman"/>
          <w:szCs w:val="24"/>
        </w:rPr>
        <w:t xml:space="preserve"> azzal</w:t>
      </w:r>
      <w:r w:rsidR="003C2D9E" w:rsidRPr="002F3761">
        <w:rPr>
          <w:rFonts w:cs="Times New Roman"/>
          <w:szCs w:val="24"/>
        </w:rPr>
        <w:t xml:space="preserve">, hogy nem </w:t>
      </w:r>
      <w:r w:rsidR="00EB6192" w:rsidRPr="002F3761">
        <w:rPr>
          <w:rFonts w:cs="Times New Roman"/>
          <w:szCs w:val="24"/>
        </w:rPr>
        <w:t xml:space="preserve">tudnak </w:t>
      </w:r>
      <w:r w:rsidR="003C2D9E" w:rsidRPr="002F3761">
        <w:rPr>
          <w:rFonts w:cs="Times New Roman"/>
          <w:szCs w:val="24"/>
        </w:rPr>
        <w:t xml:space="preserve">segíteni </w:t>
      </w:r>
      <w:r w:rsidR="00E93847">
        <w:rPr>
          <w:rFonts w:cs="Times New Roman"/>
          <w:szCs w:val="24"/>
        </w:rPr>
        <w:t xml:space="preserve">az </w:t>
      </w:r>
      <w:r w:rsidR="00EB6192" w:rsidRPr="002F3761">
        <w:rPr>
          <w:rFonts w:cs="Times New Roman"/>
          <w:szCs w:val="24"/>
        </w:rPr>
        <w:t xml:space="preserve">ilyen </w:t>
      </w:r>
      <w:r w:rsidR="003C2D9E" w:rsidRPr="002F3761">
        <w:rPr>
          <w:rFonts w:cs="Times New Roman"/>
          <w:szCs w:val="24"/>
        </w:rPr>
        <w:t>tettek</w:t>
      </w:r>
      <w:r w:rsidR="00E93847">
        <w:rPr>
          <w:rFonts w:cs="Times New Roman"/>
          <w:szCs w:val="24"/>
        </w:rPr>
        <w:t xml:space="preserve"> végre</w:t>
      </w:r>
      <w:r w:rsidR="003C2D9E" w:rsidRPr="002F3761">
        <w:rPr>
          <w:rFonts w:cs="Times New Roman"/>
          <w:szCs w:val="24"/>
        </w:rPr>
        <w:t>hajt</w:t>
      </w:r>
      <w:r w:rsidR="00E93847">
        <w:rPr>
          <w:rFonts w:cs="Times New Roman"/>
          <w:szCs w:val="24"/>
        </w:rPr>
        <w:t>ásában, de fel lehet ajánlani</w:t>
      </w:r>
      <w:r w:rsidR="00EB6192" w:rsidRPr="002F3761">
        <w:rPr>
          <w:rFonts w:cs="Times New Roman"/>
          <w:szCs w:val="24"/>
        </w:rPr>
        <w:t xml:space="preserve">, hogy </w:t>
      </w:r>
      <w:r w:rsidR="003C2D9E" w:rsidRPr="002F3761">
        <w:rPr>
          <w:rFonts w:cs="Times New Roman"/>
          <w:szCs w:val="24"/>
        </w:rPr>
        <w:t>olyan dolgokról beszélg</w:t>
      </w:r>
      <w:r w:rsidR="00EB6192" w:rsidRPr="002F3761">
        <w:rPr>
          <w:rFonts w:cs="Times New Roman"/>
          <w:szCs w:val="24"/>
        </w:rPr>
        <w:t>essenek</w:t>
      </w:r>
      <w:r w:rsidR="003C2D9E" w:rsidRPr="002F3761">
        <w:rPr>
          <w:rFonts w:cs="Times New Roman"/>
          <w:szCs w:val="24"/>
        </w:rPr>
        <w:t>, amelyek fontosak az érintett személynek, és amelyekben a támogatás megadható. Meg kell találni azt az utat, amelyen járva támogatást lehet nyújtani.</w:t>
      </w:r>
      <w:r w:rsidR="003C2D9E" w:rsidRPr="002F3761">
        <w:rPr>
          <w:rStyle w:val="Lbjegyzet-hivatkozs"/>
          <w:rFonts w:cs="Times New Roman"/>
          <w:szCs w:val="24"/>
        </w:rPr>
        <w:footnoteReference w:id="141"/>
      </w:r>
    </w:p>
    <w:p w14:paraId="00A66CB9" w14:textId="77777777" w:rsidR="00C850A2" w:rsidRPr="002F3761" w:rsidRDefault="00C850A2" w:rsidP="002F3761">
      <w:pPr>
        <w:rPr>
          <w:rFonts w:cs="Times New Roman"/>
          <w:szCs w:val="24"/>
        </w:rPr>
      </w:pPr>
    </w:p>
    <w:p w14:paraId="0BA59A86" w14:textId="77777777" w:rsidR="003C2D9E" w:rsidRPr="002F3761" w:rsidRDefault="003C2D9E" w:rsidP="002F3761">
      <w:pPr>
        <w:rPr>
          <w:rFonts w:eastAsia="Times New Roman" w:cs="Times New Roman"/>
          <w:bCs/>
          <w:color w:val="000000"/>
          <w:szCs w:val="24"/>
          <w:lang w:eastAsia="hu-HU"/>
        </w:rPr>
      </w:pPr>
      <w:r w:rsidRPr="002F3761">
        <w:rPr>
          <w:rFonts w:cs="Times New Roman"/>
          <w:szCs w:val="24"/>
        </w:rPr>
        <w:t xml:space="preserve">Phil Barker és Poppy Buchanan-Barker 2005-ben </w:t>
      </w:r>
      <w:r w:rsidR="00BF0FA9" w:rsidRPr="002F3761">
        <w:rPr>
          <w:rFonts w:cs="Times New Roman"/>
          <w:szCs w:val="24"/>
        </w:rPr>
        <w:t>jelentette</w:t>
      </w:r>
      <w:r w:rsidRPr="002F3761">
        <w:rPr>
          <w:rFonts w:cs="Times New Roman"/>
          <w:szCs w:val="24"/>
        </w:rPr>
        <w:t xml:space="preserve"> meg a „</w:t>
      </w:r>
      <w:r w:rsidRPr="002C26E8">
        <w:rPr>
          <w:rFonts w:eastAsia="Times New Roman" w:cs="Times New Roman"/>
          <w:bCs/>
          <w:color w:val="000000"/>
          <w:szCs w:val="24"/>
          <w:lang w:eastAsia="hu-HU"/>
        </w:rPr>
        <w:t xml:space="preserve">The Tidal Model: A Guide for Mental Health Professionals” </w:t>
      </w:r>
      <w:r w:rsidRPr="002F3761">
        <w:rPr>
          <w:rFonts w:eastAsia="Times New Roman" w:cs="Times New Roman"/>
          <w:bCs/>
          <w:color w:val="000000"/>
          <w:szCs w:val="24"/>
          <w:lang w:eastAsia="hu-HU"/>
        </w:rPr>
        <w:t xml:space="preserve">című könyvet, melyben </w:t>
      </w:r>
      <w:r w:rsidR="00E90F6D" w:rsidRPr="002F3761">
        <w:rPr>
          <w:rFonts w:eastAsia="Times New Roman" w:cs="Times New Roman"/>
          <w:bCs/>
          <w:color w:val="000000"/>
          <w:szCs w:val="24"/>
          <w:lang w:eastAsia="hu-HU"/>
        </w:rPr>
        <w:t>leírják</w:t>
      </w:r>
      <w:r w:rsidR="00E90F6D" w:rsidRPr="002C26E8">
        <w:rPr>
          <w:rFonts w:eastAsia="Times New Roman" w:cs="Times New Roman"/>
          <w:bCs/>
          <w:color w:val="000000"/>
          <w:szCs w:val="24"/>
          <w:lang w:eastAsia="hu-HU"/>
        </w:rPr>
        <w:t xml:space="preserve"> </w:t>
      </w:r>
      <w:r w:rsidR="00E90F6D" w:rsidRPr="002F3761">
        <w:rPr>
          <w:rFonts w:eastAsia="Times New Roman" w:cs="Times New Roman"/>
          <w:bCs/>
          <w:color w:val="000000"/>
          <w:szCs w:val="24"/>
          <w:lang w:eastAsia="hu-HU"/>
        </w:rPr>
        <w:t>az Árapály Modell kialakulását, felvázolják az elméletet és bemutatják az önirányítást és a felépülést elősegítő holisztikus modell előnyeit</w:t>
      </w:r>
      <w:r w:rsidR="00453CF6" w:rsidRPr="002F3761">
        <w:rPr>
          <w:rFonts w:eastAsia="Times New Roman" w:cs="Times New Roman"/>
          <w:bCs/>
          <w:color w:val="000000"/>
          <w:szCs w:val="24"/>
          <w:lang w:eastAsia="hu-HU"/>
        </w:rPr>
        <w:t>. Példákon keresztül szemléltetik, hogy – feltérképezve a személy élettörténetét – miként lehet bátorítani az érintettet, az életét érintő döntésekben való nagyobb részvételre.</w:t>
      </w:r>
      <w:r w:rsidR="00453CF6" w:rsidRPr="002F3761">
        <w:rPr>
          <w:rStyle w:val="Lbjegyzet-hivatkozs"/>
          <w:rFonts w:eastAsia="Times New Roman" w:cs="Times New Roman"/>
          <w:bCs/>
          <w:color w:val="000000"/>
          <w:szCs w:val="24"/>
          <w:lang w:eastAsia="hu-HU"/>
        </w:rPr>
        <w:footnoteReference w:id="142"/>
      </w:r>
    </w:p>
    <w:p w14:paraId="6B25CBB0" w14:textId="77777777" w:rsidR="00453CF6" w:rsidRPr="002F3761" w:rsidRDefault="00453CF6" w:rsidP="002F3761">
      <w:pPr>
        <w:rPr>
          <w:rFonts w:eastAsia="Times New Roman" w:cs="Times New Roman"/>
          <w:bCs/>
          <w:color w:val="000000"/>
          <w:szCs w:val="24"/>
          <w:lang w:eastAsia="hu-HU"/>
        </w:rPr>
      </w:pPr>
    </w:p>
    <w:p w14:paraId="24040F72" w14:textId="77777777" w:rsidR="00453CF6" w:rsidRPr="002C26E8" w:rsidRDefault="00453CF6" w:rsidP="002F3761">
      <w:pPr>
        <w:rPr>
          <w:rFonts w:eastAsia="Times New Roman" w:cs="Times New Roman"/>
          <w:bCs/>
          <w:color w:val="000000"/>
          <w:szCs w:val="24"/>
          <w:lang w:eastAsia="hu-HU"/>
        </w:rPr>
      </w:pPr>
      <w:r w:rsidRPr="002F3761">
        <w:rPr>
          <w:rFonts w:eastAsia="Times New Roman" w:cs="Times New Roman"/>
          <w:bCs/>
          <w:color w:val="000000"/>
          <w:szCs w:val="24"/>
          <w:lang w:eastAsia="hu-HU"/>
        </w:rPr>
        <w:t xml:space="preserve">Az Árapály Modell bevezetésre került már Anglián kívül </w:t>
      </w:r>
      <w:r w:rsidR="00816A34" w:rsidRPr="002F3761">
        <w:rPr>
          <w:rFonts w:eastAsia="Times New Roman" w:cs="Times New Roman"/>
          <w:bCs/>
          <w:color w:val="000000"/>
          <w:szCs w:val="24"/>
          <w:lang w:eastAsia="hu-HU"/>
        </w:rPr>
        <w:t>Németországban, Svájcban, Dániában, Svédországban, Törökországban, Spanyolországban és Brazíliában.</w:t>
      </w:r>
    </w:p>
    <w:p w14:paraId="4AD144E2" w14:textId="77777777" w:rsidR="003C2D9E" w:rsidRDefault="003C2D9E" w:rsidP="002F3761">
      <w:pPr>
        <w:rPr>
          <w:rFonts w:eastAsia="Times New Roman" w:cs="Times New Roman"/>
          <w:bCs/>
          <w:color w:val="000000"/>
          <w:szCs w:val="24"/>
          <w:lang w:eastAsia="hu-HU"/>
        </w:rPr>
      </w:pPr>
    </w:p>
    <w:p w14:paraId="09AE329C" w14:textId="6FBCBBDC" w:rsidR="00874C7A" w:rsidRDefault="00874C7A" w:rsidP="002F3761">
      <w:pPr>
        <w:rPr>
          <w:rFonts w:eastAsia="Times New Roman" w:cs="Times New Roman"/>
          <w:bCs/>
          <w:color w:val="000000"/>
          <w:szCs w:val="24"/>
          <w:lang w:eastAsia="hu-HU"/>
        </w:rPr>
      </w:pPr>
      <w:r w:rsidRPr="00874C7A">
        <w:rPr>
          <w:rFonts w:eastAsia="Times New Roman" w:cs="Times New Roman"/>
          <w:bCs/>
          <w:color w:val="000000"/>
          <w:szCs w:val="24"/>
          <w:lang w:eastAsia="hu-HU"/>
        </w:rPr>
        <w:t>Prof Dr Michael Schulz</w:t>
      </w:r>
      <w:r>
        <w:rPr>
          <w:rFonts w:eastAsia="Times New Roman" w:cs="Times New Roman"/>
          <w:bCs/>
          <w:color w:val="000000"/>
          <w:szCs w:val="24"/>
          <w:lang w:eastAsia="hu-HU"/>
        </w:rPr>
        <w:t>, az Árapály Mod</w:t>
      </w:r>
      <w:r w:rsidR="0084101D">
        <w:rPr>
          <w:rFonts w:eastAsia="Times New Roman" w:cs="Times New Roman"/>
          <w:bCs/>
          <w:color w:val="000000"/>
          <w:szCs w:val="24"/>
          <w:lang w:eastAsia="hu-HU"/>
        </w:rPr>
        <w:t>ell német társfordítója szerint:</w:t>
      </w:r>
    </w:p>
    <w:p w14:paraId="1229A484" w14:textId="77777777" w:rsidR="00874C7A" w:rsidRDefault="00874C7A" w:rsidP="002F3761">
      <w:pPr>
        <w:rPr>
          <w:rFonts w:eastAsia="Times New Roman" w:cs="Times New Roman"/>
          <w:bCs/>
          <w:color w:val="000000"/>
          <w:szCs w:val="24"/>
          <w:lang w:eastAsia="hu-HU"/>
        </w:rPr>
      </w:pPr>
    </w:p>
    <w:p w14:paraId="74EED3CA" w14:textId="1008B5D3" w:rsidR="00874C7A" w:rsidRDefault="00362EAD" w:rsidP="00362EAD">
      <w:pPr>
        <w:ind w:left="708"/>
        <w:rPr>
          <w:rFonts w:eastAsia="Times New Roman" w:cs="Times New Roman"/>
          <w:bCs/>
          <w:color w:val="000000"/>
          <w:szCs w:val="24"/>
          <w:lang w:eastAsia="hu-HU"/>
        </w:rPr>
      </w:pPr>
      <w:r>
        <w:rPr>
          <w:rFonts w:eastAsia="Times New Roman" w:cs="Times New Roman"/>
          <w:bCs/>
          <w:color w:val="000000"/>
          <w:szCs w:val="24"/>
          <w:lang w:eastAsia="hu-HU"/>
        </w:rPr>
        <w:t>"Az árapály M</w:t>
      </w:r>
      <w:r w:rsidR="00874C7A" w:rsidRPr="00874C7A">
        <w:rPr>
          <w:rFonts w:eastAsia="Times New Roman" w:cs="Times New Roman"/>
          <w:bCs/>
          <w:color w:val="000000"/>
          <w:szCs w:val="24"/>
          <w:lang w:eastAsia="hu-HU"/>
        </w:rPr>
        <w:t>odell nagyon jó keretet</w:t>
      </w:r>
      <w:r w:rsidR="00874C7A">
        <w:rPr>
          <w:rFonts w:eastAsia="Times New Roman" w:cs="Times New Roman"/>
          <w:bCs/>
          <w:color w:val="000000"/>
          <w:szCs w:val="24"/>
          <w:lang w:eastAsia="hu-HU"/>
        </w:rPr>
        <w:t xml:space="preserve"> biztosít a</w:t>
      </w:r>
      <w:r w:rsidR="00874C7A" w:rsidRPr="00874C7A">
        <w:rPr>
          <w:rFonts w:eastAsia="Times New Roman" w:cs="Times New Roman"/>
          <w:bCs/>
          <w:color w:val="000000"/>
          <w:szCs w:val="24"/>
          <w:lang w:eastAsia="hu-HU"/>
        </w:rPr>
        <w:t xml:space="preserve"> pszichoszociális munka</w:t>
      </w:r>
      <w:r w:rsidR="00874C7A">
        <w:rPr>
          <w:rFonts w:eastAsia="Times New Roman" w:cs="Times New Roman"/>
          <w:bCs/>
          <w:color w:val="000000"/>
          <w:szCs w:val="24"/>
          <w:lang w:eastAsia="hu-HU"/>
        </w:rPr>
        <w:t xml:space="preserve"> terrénumán belül</w:t>
      </w:r>
      <w:r w:rsidR="00874C7A" w:rsidRPr="00874C7A">
        <w:rPr>
          <w:rFonts w:eastAsia="Times New Roman" w:cs="Times New Roman"/>
          <w:bCs/>
          <w:color w:val="000000"/>
          <w:szCs w:val="24"/>
          <w:lang w:eastAsia="hu-HU"/>
        </w:rPr>
        <w:t xml:space="preserve">. </w:t>
      </w:r>
      <w:r w:rsidR="00874C7A">
        <w:rPr>
          <w:rFonts w:eastAsia="Times New Roman" w:cs="Times New Roman"/>
          <w:bCs/>
          <w:color w:val="000000"/>
          <w:szCs w:val="24"/>
          <w:lang w:eastAsia="hu-HU"/>
        </w:rPr>
        <w:t>[…] Mint a p</w:t>
      </w:r>
      <w:r w:rsidR="00874C7A" w:rsidRPr="00874C7A">
        <w:rPr>
          <w:rFonts w:eastAsia="Times New Roman" w:cs="Times New Roman"/>
          <w:bCs/>
          <w:color w:val="000000"/>
          <w:szCs w:val="24"/>
          <w:lang w:eastAsia="hu-HU"/>
        </w:rPr>
        <w:t>szichiátriai á</w:t>
      </w:r>
      <w:r w:rsidR="00874C7A">
        <w:rPr>
          <w:rFonts w:eastAsia="Times New Roman" w:cs="Times New Roman"/>
          <w:bCs/>
          <w:color w:val="000000"/>
          <w:szCs w:val="24"/>
          <w:lang w:eastAsia="hu-HU"/>
        </w:rPr>
        <w:t>polás n</w:t>
      </w:r>
      <w:r w:rsidR="00874C7A" w:rsidRPr="00874C7A">
        <w:rPr>
          <w:rFonts w:eastAsia="Times New Roman" w:cs="Times New Roman"/>
          <w:bCs/>
          <w:color w:val="000000"/>
          <w:szCs w:val="24"/>
          <w:lang w:eastAsia="hu-HU"/>
        </w:rPr>
        <w:t>émetország</w:t>
      </w:r>
      <w:r w:rsidR="00874C7A">
        <w:rPr>
          <w:rFonts w:eastAsia="Times New Roman" w:cs="Times New Roman"/>
          <w:bCs/>
          <w:color w:val="000000"/>
          <w:szCs w:val="24"/>
          <w:lang w:eastAsia="hu-HU"/>
        </w:rPr>
        <w:t>i professzora, rengeteg diákot látok, akik megtapasztalták az Árapály Modellel való munka jelentős eredményeit</w:t>
      </w:r>
      <w:r w:rsidR="00874C7A" w:rsidRPr="00874C7A">
        <w:rPr>
          <w:rFonts w:eastAsia="Times New Roman" w:cs="Times New Roman"/>
          <w:bCs/>
          <w:color w:val="000000"/>
          <w:szCs w:val="24"/>
          <w:lang w:eastAsia="hu-HU"/>
        </w:rPr>
        <w:t xml:space="preserve">. </w:t>
      </w:r>
      <w:r w:rsidR="00874C7A">
        <w:rPr>
          <w:rFonts w:eastAsia="Times New Roman" w:cs="Times New Roman"/>
          <w:bCs/>
          <w:color w:val="000000"/>
          <w:szCs w:val="24"/>
          <w:lang w:eastAsia="hu-HU"/>
        </w:rPr>
        <w:t>A</w:t>
      </w:r>
      <w:r w:rsidR="00874C7A" w:rsidRPr="00874C7A">
        <w:rPr>
          <w:rFonts w:eastAsia="Times New Roman" w:cs="Times New Roman"/>
          <w:bCs/>
          <w:color w:val="000000"/>
          <w:szCs w:val="24"/>
          <w:lang w:eastAsia="hu-HU"/>
        </w:rPr>
        <w:t xml:space="preserve"> </w:t>
      </w:r>
      <w:r w:rsidR="00874C7A">
        <w:rPr>
          <w:rFonts w:eastAsia="Times New Roman" w:cs="Times New Roman"/>
          <w:bCs/>
          <w:color w:val="000000"/>
          <w:szCs w:val="24"/>
          <w:lang w:eastAsia="hu-HU"/>
        </w:rPr>
        <w:t>személy</w:t>
      </w:r>
      <w:r w:rsidR="00874C7A" w:rsidRPr="00874C7A">
        <w:rPr>
          <w:rFonts w:eastAsia="Times New Roman" w:cs="Times New Roman"/>
          <w:bCs/>
          <w:color w:val="000000"/>
          <w:szCs w:val="24"/>
          <w:lang w:eastAsia="hu-HU"/>
        </w:rPr>
        <w:t>-központú megközelítés és a személyes történet személyes nyelv</w:t>
      </w:r>
      <w:r w:rsidR="00874C7A">
        <w:rPr>
          <w:rFonts w:eastAsia="Times New Roman" w:cs="Times New Roman"/>
          <w:bCs/>
          <w:color w:val="000000"/>
          <w:szCs w:val="24"/>
          <w:lang w:eastAsia="hu-HU"/>
        </w:rPr>
        <w:t>en történő elmesélése</w:t>
      </w:r>
      <w:r w:rsidR="00874C7A" w:rsidRPr="00874C7A">
        <w:rPr>
          <w:rFonts w:eastAsia="Times New Roman" w:cs="Times New Roman"/>
          <w:bCs/>
          <w:color w:val="000000"/>
          <w:szCs w:val="24"/>
          <w:lang w:eastAsia="hu-HU"/>
        </w:rPr>
        <w:t xml:space="preserve"> jelenti a kulcsot </w:t>
      </w:r>
      <w:r w:rsidR="00874C7A">
        <w:rPr>
          <w:rFonts w:eastAsia="Times New Roman" w:cs="Times New Roman"/>
          <w:bCs/>
          <w:color w:val="000000"/>
          <w:szCs w:val="24"/>
          <w:lang w:eastAsia="hu-HU"/>
        </w:rPr>
        <w:t xml:space="preserve">ahhoz, hogy a felépülés modellt átültessük a valóságba. </w:t>
      </w:r>
      <w:r w:rsidR="00874C7A" w:rsidRPr="00874C7A">
        <w:rPr>
          <w:rFonts w:eastAsia="Times New Roman" w:cs="Times New Roman"/>
          <w:bCs/>
          <w:color w:val="000000"/>
          <w:szCs w:val="24"/>
          <w:lang w:eastAsia="hu-HU"/>
        </w:rPr>
        <w:t>Ez kitágítja a</w:t>
      </w:r>
      <w:r w:rsidR="00874C7A">
        <w:rPr>
          <w:rFonts w:eastAsia="Times New Roman" w:cs="Times New Roman"/>
          <w:bCs/>
          <w:color w:val="000000"/>
          <w:szCs w:val="24"/>
          <w:lang w:eastAsia="hu-HU"/>
        </w:rPr>
        <w:t>zt a horizontot, amivé a pszichiátriai ápolás lenni képes, és amivé változnia kell."</w:t>
      </w:r>
      <w:r>
        <w:rPr>
          <w:rStyle w:val="Lbjegyzet-hivatkozs"/>
          <w:rFonts w:eastAsia="Times New Roman" w:cs="Times New Roman"/>
          <w:bCs/>
          <w:color w:val="000000"/>
          <w:szCs w:val="24"/>
          <w:lang w:eastAsia="hu-HU"/>
        </w:rPr>
        <w:footnoteReference w:id="143"/>
      </w:r>
    </w:p>
    <w:p w14:paraId="093FEB9D" w14:textId="77777777" w:rsidR="00874C7A" w:rsidRDefault="00874C7A" w:rsidP="002F3761">
      <w:pPr>
        <w:rPr>
          <w:rFonts w:eastAsia="Times New Roman" w:cs="Times New Roman"/>
          <w:bCs/>
          <w:color w:val="000000"/>
          <w:szCs w:val="24"/>
          <w:lang w:eastAsia="hu-HU"/>
        </w:rPr>
      </w:pPr>
    </w:p>
    <w:p w14:paraId="3E4928EF" w14:textId="028EFA22" w:rsidR="00362EAD" w:rsidRPr="00362EAD" w:rsidRDefault="00362EAD" w:rsidP="00362EAD">
      <w:pPr>
        <w:rPr>
          <w:rFonts w:eastAsia="Times New Roman" w:cs="Times New Roman"/>
          <w:bCs/>
          <w:color w:val="000000"/>
          <w:szCs w:val="24"/>
          <w:lang w:eastAsia="hu-HU"/>
        </w:rPr>
      </w:pPr>
      <w:r w:rsidRPr="00362EAD">
        <w:rPr>
          <w:rFonts w:eastAsia="Times New Roman" w:cs="Times New Roman"/>
          <w:bCs/>
          <w:color w:val="000000"/>
          <w:szCs w:val="24"/>
          <w:lang w:eastAsia="hu-HU"/>
        </w:rPr>
        <w:lastRenderedPageBreak/>
        <w:t xml:space="preserve">Chanett Babette Simonsen, </w:t>
      </w:r>
      <w:r>
        <w:rPr>
          <w:rFonts w:eastAsia="Times New Roman" w:cs="Times New Roman"/>
          <w:bCs/>
          <w:color w:val="000000"/>
          <w:szCs w:val="24"/>
          <w:lang w:eastAsia="hu-HU"/>
        </w:rPr>
        <w:t>a p</w:t>
      </w:r>
      <w:r w:rsidRPr="00362EAD">
        <w:rPr>
          <w:rFonts w:eastAsia="Times New Roman" w:cs="Times New Roman"/>
          <w:bCs/>
          <w:color w:val="000000"/>
          <w:szCs w:val="24"/>
          <w:lang w:eastAsia="hu-HU"/>
        </w:rPr>
        <w:t xml:space="preserve">szichiátriai ápolók speciális képzésének </w:t>
      </w:r>
      <w:r>
        <w:rPr>
          <w:rFonts w:eastAsia="Times New Roman" w:cs="Times New Roman"/>
          <w:bCs/>
          <w:color w:val="000000"/>
          <w:szCs w:val="24"/>
          <w:lang w:eastAsia="hu-HU"/>
        </w:rPr>
        <w:t xml:space="preserve">dániai </w:t>
      </w:r>
      <w:r w:rsidRPr="00362EAD">
        <w:rPr>
          <w:rFonts w:eastAsia="Times New Roman" w:cs="Times New Roman"/>
          <w:bCs/>
          <w:color w:val="000000"/>
          <w:szCs w:val="24"/>
          <w:lang w:eastAsia="hu-HU"/>
        </w:rPr>
        <w:t xml:space="preserve">oktatási igazgatója </w:t>
      </w:r>
      <w:r>
        <w:rPr>
          <w:rFonts w:eastAsia="Times New Roman" w:cs="Times New Roman"/>
          <w:bCs/>
          <w:color w:val="000000"/>
          <w:szCs w:val="24"/>
          <w:lang w:eastAsia="hu-HU"/>
        </w:rPr>
        <w:t>arról számolt be, hogy az Árapály Modell az elmúlt években mélyen gyökeret eresztett a dániai pszichiátriai ápolás terén. Az oktatási igazgató büszke arra, hogy a speciális tréningben részesülő nővérek az Árapály Modell emberies megközelítésének lehetnek a hírnökei.</w:t>
      </w:r>
      <w:r>
        <w:rPr>
          <w:rStyle w:val="Lbjegyzet-hivatkozs"/>
          <w:rFonts w:eastAsia="Times New Roman" w:cs="Times New Roman"/>
          <w:bCs/>
          <w:color w:val="000000"/>
          <w:szCs w:val="24"/>
          <w:lang w:eastAsia="hu-HU"/>
        </w:rPr>
        <w:footnoteReference w:id="144"/>
      </w:r>
      <w:r>
        <w:rPr>
          <w:rFonts w:eastAsia="Times New Roman" w:cs="Times New Roman"/>
          <w:bCs/>
          <w:color w:val="000000"/>
          <w:szCs w:val="24"/>
          <w:lang w:eastAsia="hu-HU"/>
        </w:rPr>
        <w:t xml:space="preserve"> </w:t>
      </w:r>
    </w:p>
    <w:p w14:paraId="59990E43" w14:textId="77777777" w:rsidR="00804684" w:rsidRPr="002C26E8" w:rsidRDefault="00804684" w:rsidP="002F3761">
      <w:pPr>
        <w:rPr>
          <w:rFonts w:eastAsia="Times New Roman" w:cs="Times New Roman"/>
          <w:bCs/>
          <w:color w:val="000000"/>
          <w:szCs w:val="24"/>
          <w:lang w:eastAsia="hu-HU"/>
        </w:rPr>
      </w:pPr>
    </w:p>
    <w:p w14:paraId="594C5BFB" w14:textId="38D30E25" w:rsidR="00763E43" w:rsidRPr="000B427C" w:rsidRDefault="00804684" w:rsidP="000B427C">
      <w:pPr>
        <w:pStyle w:val="Cmsor2"/>
        <w:rPr>
          <w:rFonts w:ascii="Times New Roman" w:hAnsi="Times New Roman" w:cs="Times New Roman"/>
          <w:color w:val="auto"/>
        </w:rPr>
      </w:pPr>
      <w:bookmarkStart w:id="23" w:name="_Toc451515113"/>
      <w:r w:rsidRPr="000B427C">
        <w:rPr>
          <w:rFonts w:ascii="Times New Roman" w:hAnsi="Times New Roman" w:cs="Times New Roman"/>
          <w:color w:val="auto"/>
        </w:rPr>
        <w:t>5.3.</w:t>
      </w:r>
      <w:r w:rsidR="00CF4E97" w:rsidRPr="000B427C">
        <w:rPr>
          <w:rFonts w:ascii="Times New Roman" w:hAnsi="Times New Roman" w:cs="Times New Roman"/>
          <w:color w:val="auto"/>
        </w:rPr>
        <w:t xml:space="preserve"> </w:t>
      </w:r>
      <w:r w:rsidR="001023CD" w:rsidRPr="000B427C">
        <w:rPr>
          <w:rFonts w:ascii="Times New Roman" w:hAnsi="Times New Roman" w:cs="Times New Roman"/>
          <w:color w:val="auto"/>
        </w:rPr>
        <w:t>Közösségi támogató hálózatok</w:t>
      </w:r>
      <w:bookmarkEnd w:id="23"/>
    </w:p>
    <w:p w14:paraId="617189C4" w14:textId="77777777" w:rsidR="00763E43" w:rsidRPr="002F3761" w:rsidRDefault="00763E43" w:rsidP="002F3761">
      <w:pPr>
        <w:rPr>
          <w:rFonts w:cs="Times New Roman"/>
          <w:szCs w:val="24"/>
        </w:rPr>
      </w:pPr>
    </w:p>
    <w:p w14:paraId="5BBF1F62" w14:textId="2C9FCCA9" w:rsidR="00B322BB" w:rsidRPr="002F3761" w:rsidRDefault="003217B4" w:rsidP="002F3761">
      <w:pPr>
        <w:rPr>
          <w:rFonts w:eastAsia="Times New Roman" w:cs="Times New Roman"/>
          <w:szCs w:val="24"/>
          <w:lang w:eastAsia="hu-HU"/>
        </w:rPr>
      </w:pPr>
      <w:r w:rsidRPr="003217B4">
        <w:rPr>
          <w:rFonts w:eastAsia="Times New Roman" w:cs="Times New Roman"/>
          <w:szCs w:val="24"/>
          <w:lang w:eastAsia="hu-HU"/>
        </w:rPr>
        <w:t xml:space="preserve">A </w:t>
      </w:r>
      <w:r w:rsidR="00B322BB" w:rsidRPr="002F3761">
        <w:rPr>
          <w:rFonts w:eastAsia="Times New Roman" w:cs="Times New Roman"/>
          <w:szCs w:val="24"/>
          <w:lang w:eastAsia="hu-HU"/>
        </w:rPr>
        <w:t xml:space="preserve">CRPD </w:t>
      </w:r>
      <w:r w:rsidR="00474478">
        <w:rPr>
          <w:rFonts w:eastAsia="Times New Roman" w:cs="Times New Roman"/>
          <w:szCs w:val="24"/>
          <w:lang w:eastAsia="hu-HU"/>
        </w:rPr>
        <w:t>12. cikke</w:t>
      </w:r>
      <w:r w:rsidRPr="003217B4">
        <w:rPr>
          <w:rFonts w:eastAsia="Times New Roman" w:cs="Times New Roman"/>
          <w:szCs w:val="24"/>
          <w:lang w:eastAsia="hu-HU"/>
        </w:rPr>
        <w:t xml:space="preserve"> (2) bekezdés</w:t>
      </w:r>
      <w:r w:rsidR="00B322BB" w:rsidRPr="002F3761">
        <w:rPr>
          <w:rFonts w:eastAsia="Times New Roman" w:cs="Times New Roman"/>
          <w:szCs w:val="24"/>
          <w:lang w:eastAsia="hu-HU"/>
        </w:rPr>
        <w:t>e</w:t>
      </w:r>
      <w:r w:rsidRPr="003217B4">
        <w:rPr>
          <w:rFonts w:eastAsia="Times New Roman" w:cs="Times New Roman"/>
          <w:szCs w:val="24"/>
          <w:lang w:eastAsia="hu-HU"/>
        </w:rPr>
        <w:t xml:space="preserve"> megkívánja a részes államoktól, hogy eli</w:t>
      </w:r>
      <w:r w:rsidR="00B322BB" w:rsidRPr="002F3761">
        <w:rPr>
          <w:rFonts w:eastAsia="Times New Roman" w:cs="Times New Roman"/>
          <w:szCs w:val="24"/>
          <w:lang w:eastAsia="hu-HU"/>
        </w:rPr>
        <w:t>s</w:t>
      </w:r>
      <w:r w:rsidRPr="003217B4">
        <w:rPr>
          <w:rFonts w:eastAsia="Times New Roman" w:cs="Times New Roman"/>
          <w:szCs w:val="24"/>
          <w:lang w:eastAsia="hu-HU"/>
        </w:rPr>
        <w:t>merjék</w:t>
      </w:r>
      <w:r w:rsidR="00B322BB" w:rsidRPr="002F3761">
        <w:rPr>
          <w:rFonts w:eastAsia="Times New Roman" w:cs="Times New Roman"/>
          <w:szCs w:val="24"/>
          <w:lang w:eastAsia="hu-HU"/>
        </w:rPr>
        <w:t xml:space="preserve"> </w:t>
      </w:r>
      <w:r w:rsidRPr="003217B4">
        <w:rPr>
          <w:rFonts w:eastAsia="Times New Roman" w:cs="Times New Roman"/>
          <w:szCs w:val="24"/>
          <w:lang w:eastAsia="hu-HU"/>
        </w:rPr>
        <w:t xml:space="preserve">a fogyatékossággal élő személyek </w:t>
      </w:r>
      <w:r w:rsidR="00474478" w:rsidRPr="00474478">
        <w:rPr>
          <w:rFonts w:eastAsia="Times New Roman" w:cs="Times New Roman"/>
          <w:szCs w:val="24"/>
          <w:lang w:eastAsia="hu-HU"/>
        </w:rPr>
        <w:t>jog- és cselekvőképességet</w:t>
      </w:r>
      <w:r w:rsidR="00474478">
        <w:rPr>
          <w:rFonts w:eastAsia="Times New Roman" w:cs="Times New Roman"/>
          <w:szCs w:val="24"/>
          <w:lang w:eastAsia="hu-HU"/>
        </w:rPr>
        <w:t>, mely</w:t>
      </w:r>
      <w:r w:rsidR="00474478" w:rsidRPr="00474478">
        <w:rPr>
          <w:rFonts w:eastAsia="Times New Roman" w:cs="Times New Roman"/>
          <w:szCs w:val="24"/>
          <w:lang w:eastAsia="hu-HU"/>
        </w:rPr>
        <w:t xml:space="preserve"> </w:t>
      </w:r>
      <w:r w:rsidRPr="003217B4">
        <w:rPr>
          <w:rFonts w:eastAsia="Times New Roman" w:cs="Times New Roman"/>
          <w:szCs w:val="24"/>
          <w:lang w:eastAsia="hu-HU"/>
        </w:rPr>
        <w:t>az élet minden területén másokkal azonos alapon megillet</w:t>
      </w:r>
      <w:r w:rsidR="00474478">
        <w:rPr>
          <w:rFonts w:eastAsia="Times New Roman" w:cs="Times New Roman"/>
          <w:szCs w:val="24"/>
          <w:lang w:eastAsia="hu-HU"/>
        </w:rPr>
        <w:t>i őket</w:t>
      </w:r>
      <w:r w:rsidR="00B322BB" w:rsidRPr="002F3761">
        <w:rPr>
          <w:rFonts w:eastAsia="Times New Roman" w:cs="Times New Roman"/>
          <w:szCs w:val="24"/>
          <w:lang w:eastAsia="hu-HU"/>
        </w:rPr>
        <w:t xml:space="preserve">. </w:t>
      </w:r>
      <w:r w:rsidRPr="003217B4">
        <w:rPr>
          <w:rFonts w:eastAsia="Times New Roman" w:cs="Times New Roman"/>
          <w:szCs w:val="24"/>
          <w:lang w:eastAsia="hu-HU"/>
        </w:rPr>
        <w:t xml:space="preserve"> Az Egyezmény a (3) bekezdésben további kötelezettséget is támaszt:</w:t>
      </w:r>
    </w:p>
    <w:p w14:paraId="4E23E41E" w14:textId="77777777" w:rsidR="00B322BB" w:rsidRPr="002F3761" w:rsidRDefault="00B322BB" w:rsidP="002F3761">
      <w:pPr>
        <w:rPr>
          <w:rFonts w:eastAsia="Times New Roman" w:cs="Times New Roman"/>
          <w:szCs w:val="24"/>
          <w:lang w:eastAsia="hu-HU"/>
        </w:rPr>
      </w:pPr>
    </w:p>
    <w:p w14:paraId="51F333DB" w14:textId="77777777" w:rsidR="003217B4" w:rsidRPr="003217B4" w:rsidRDefault="003217B4" w:rsidP="002F3761">
      <w:pPr>
        <w:ind w:left="708"/>
        <w:rPr>
          <w:rFonts w:eastAsia="Times New Roman" w:cs="Times New Roman"/>
          <w:szCs w:val="24"/>
          <w:lang w:eastAsia="hu-HU"/>
        </w:rPr>
      </w:pPr>
      <w:r w:rsidRPr="003217B4">
        <w:rPr>
          <w:rFonts w:eastAsia="Times New Roman" w:cs="Times New Roman"/>
          <w:szCs w:val="24"/>
          <w:lang w:eastAsia="hu-HU"/>
        </w:rPr>
        <w:t>„A részes államok meghozzák a szükséges intézkedéseket annak érdekében, hogy a fogyatékossággal élő személyek cselekvőképességének gyako</w:t>
      </w:r>
      <w:r w:rsidR="00B322BB" w:rsidRPr="002F3761">
        <w:rPr>
          <w:rFonts w:eastAsia="Times New Roman" w:cs="Times New Roman"/>
          <w:szCs w:val="24"/>
          <w:lang w:eastAsia="hu-HU"/>
        </w:rPr>
        <w:t>rlásához esetlegesen szükséges támogatás</w:t>
      </w:r>
      <w:r w:rsidRPr="002F3761">
        <w:rPr>
          <w:rFonts w:eastAsia="Times New Roman" w:cs="Times New Roman"/>
          <w:szCs w:val="24"/>
          <w:vertAlign w:val="superscript"/>
          <w:lang w:eastAsia="hu-HU"/>
        </w:rPr>
        <w:footnoteReference w:id="145"/>
      </w:r>
      <w:r w:rsidRPr="003217B4">
        <w:rPr>
          <w:rFonts w:eastAsia="Times New Roman" w:cs="Times New Roman"/>
          <w:szCs w:val="24"/>
          <w:lang w:eastAsia="hu-HU"/>
        </w:rPr>
        <w:t xml:space="preserve"> hozzáférhetővé váljon.”</w:t>
      </w:r>
    </w:p>
    <w:p w14:paraId="7A19340B" w14:textId="77777777" w:rsidR="00243393" w:rsidRPr="002F3761" w:rsidRDefault="00243393" w:rsidP="002F3761">
      <w:pPr>
        <w:rPr>
          <w:rFonts w:cs="Times New Roman"/>
          <w:szCs w:val="24"/>
        </w:rPr>
      </w:pPr>
    </w:p>
    <w:p w14:paraId="33EE81E2" w14:textId="77777777" w:rsidR="00F16C60" w:rsidRPr="002F3761" w:rsidRDefault="005541DC" w:rsidP="002F3761">
      <w:pPr>
        <w:rPr>
          <w:rFonts w:cs="Times New Roman"/>
          <w:szCs w:val="24"/>
        </w:rPr>
      </w:pPr>
      <w:r w:rsidRPr="002F3761">
        <w:rPr>
          <w:rFonts w:cs="Times New Roman"/>
          <w:szCs w:val="24"/>
        </w:rPr>
        <w:t>Az ENSZ Emberi Jogi Főbiztosának Hivatala</w:t>
      </w:r>
      <w:r w:rsidR="00F16C60" w:rsidRPr="002F3761">
        <w:rPr>
          <w:rFonts w:cs="Times New Roman"/>
          <w:szCs w:val="24"/>
        </w:rPr>
        <w:t xml:space="preserve"> ezzel kapcsolatosan kiemelte:</w:t>
      </w:r>
    </w:p>
    <w:p w14:paraId="5FF9868D" w14:textId="77777777" w:rsidR="00F16C60" w:rsidRPr="002F3761" w:rsidRDefault="00F16C60" w:rsidP="002F3761">
      <w:pPr>
        <w:rPr>
          <w:rFonts w:cs="Times New Roman"/>
          <w:szCs w:val="24"/>
        </w:rPr>
      </w:pPr>
    </w:p>
    <w:p w14:paraId="02ABCC0F" w14:textId="77777777" w:rsidR="00F16C60" w:rsidRPr="00F16C60" w:rsidRDefault="00846DA3" w:rsidP="002F3761">
      <w:pPr>
        <w:ind w:left="708"/>
        <w:rPr>
          <w:rFonts w:cs="Times New Roman"/>
          <w:szCs w:val="24"/>
        </w:rPr>
      </w:pPr>
      <w:r w:rsidRPr="002F3761">
        <w:rPr>
          <w:rFonts w:cs="Times New Roman"/>
          <w:szCs w:val="24"/>
        </w:rPr>
        <w:t>„A t</w:t>
      </w:r>
      <w:r w:rsidR="003217B4" w:rsidRPr="002F3761">
        <w:rPr>
          <w:rFonts w:cs="Times New Roman"/>
          <w:szCs w:val="24"/>
        </w:rPr>
        <w:t xml:space="preserve">ámogatott döntéshozatal számos formát ölthet. </w:t>
      </w:r>
      <w:r w:rsidR="00F16C60" w:rsidRPr="002F3761">
        <w:rPr>
          <w:rFonts w:cs="Times New Roman"/>
          <w:szCs w:val="24"/>
        </w:rPr>
        <w:t xml:space="preserve">A támogatást nyújtó személyek kommunikálhatják az egyén szándékait mások felé vagy segíthetnek neki a választási lehetőségek megértésében. </w:t>
      </w:r>
      <w:r w:rsidRPr="002F3761">
        <w:rPr>
          <w:rFonts w:cs="Times New Roman"/>
          <w:szCs w:val="24"/>
        </w:rPr>
        <w:t>Segíthetnek másoknak felismerni, hogy a súlyos fogyatékossággal élő személyek is élettörténettel rendelkező személyek, akiknek fontos az élet és céljaik is vannak</w:t>
      </w:r>
      <w:r w:rsidR="005541DC" w:rsidRPr="002F3761">
        <w:rPr>
          <w:rFonts w:cs="Times New Roman"/>
          <w:szCs w:val="24"/>
        </w:rPr>
        <w:t>,</w:t>
      </w:r>
      <w:r w:rsidRPr="002F3761">
        <w:rPr>
          <w:rFonts w:cs="Times New Roman"/>
          <w:szCs w:val="24"/>
        </w:rPr>
        <w:t xml:space="preserve"> </w:t>
      </w:r>
      <w:r w:rsidR="005541DC" w:rsidRPr="002F3761">
        <w:rPr>
          <w:rFonts w:cs="Times New Roman"/>
          <w:szCs w:val="24"/>
        </w:rPr>
        <w:t>valamint, hogy</w:t>
      </w:r>
      <w:r w:rsidRPr="002F3761">
        <w:rPr>
          <w:rFonts w:cs="Times New Roman"/>
          <w:szCs w:val="24"/>
        </w:rPr>
        <w:t xml:space="preserve"> olyan személyek</w:t>
      </w:r>
      <w:r w:rsidR="005541DC" w:rsidRPr="002F3761">
        <w:rPr>
          <w:rFonts w:cs="Times New Roman"/>
          <w:szCs w:val="24"/>
        </w:rPr>
        <w:t xml:space="preserve"> ők,</w:t>
      </w:r>
      <w:r w:rsidRPr="002F3761">
        <w:rPr>
          <w:rFonts w:cs="Times New Roman"/>
          <w:szCs w:val="24"/>
        </w:rPr>
        <w:t xml:space="preserve"> akik képesek gyakorolni a cselekvőképességüket.</w:t>
      </w:r>
      <w:r w:rsidR="00F16C60" w:rsidRPr="002C26E8">
        <w:rPr>
          <w:rFonts w:eastAsia="Times New Roman" w:cs="Times New Roman"/>
          <w:color w:val="000000"/>
          <w:szCs w:val="24"/>
        </w:rPr>
        <w:t>”</w:t>
      </w:r>
      <w:r w:rsidR="00F16C60" w:rsidRPr="002F3761">
        <w:rPr>
          <w:rFonts w:eastAsia="Times New Roman" w:cs="Times New Roman"/>
          <w:color w:val="000000"/>
          <w:szCs w:val="24"/>
          <w:vertAlign w:val="superscript"/>
          <w:lang w:val="en-US"/>
        </w:rPr>
        <w:footnoteReference w:id="146"/>
      </w:r>
    </w:p>
    <w:p w14:paraId="13C00018" w14:textId="77777777" w:rsidR="00F16C60" w:rsidRPr="002F3761" w:rsidRDefault="00F16C60" w:rsidP="002F3761">
      <w:pPr>
        <w:rPr>
          <w:rFonts w:cs="Times New Roman"/>
          <w:szCs w:val="24"/>
        </w:rPr>
      </w:pPr>
    </w:p>
    <w:p w14:paraId="47D04561" w14:textId="77777777" w:rsidR="005541DC" w:rsidRPr="002F3761" w:rsidRDefault="005541DC" w:rsidP="002F3761">
      <w:pPr>
        <w:rPr>
          <w:rFonts w:eastAsia="Times New Roman" w:cs="Times New Roman"/>
          <w:szCs w:val="24"/>
          <w:lang w:eastAsia="hu-HU"/>
        </w:rPr>
      </w:pPr>
      <w:r w:rsidRPr="002F3761">
        <w:rPr>
          <w:rFonts w:eastAsia="Times New Roman" w:cs="Times New Roman"/>
          <w:szCs w:val="24"/>
          <w:lang w:eastAsia="hu-HU"/>
        </w:rPr>
        <w:t>A támogatott döntéshozatal, amellett, hogy a gondnoksági rendszerek egyik leghatékonyabb alternatívája,</w:t>
      </w:r>
      <w:r w:rsidRPr="002F3761">
        <w:rPr>
          <w:rFonts w:eastAsia="Times New Roman" w:cs="Times New Roman"/>
          <w:szCs w:val="24"/>
          <w:vertAlign w:val="superscript"/>
          <w:lang w:eastAsia="hu-HU"/>
        </w:rPr>
        <w:footnoteReference w:id="147"/>
      </w:r>
      <w:r w:rsidRPr="002F3761">
        <w:rPr>
          <w:rFonts w:eastAsia="Times New Roman" w:cs="Times New Roman"/>
          <w:szCs w:val="24"/>
          <w:lang w:eastAsia="hu-HU"/>
        </w:rPr>
        <w:t xml:space="preserve"> </w:t>
      </w:r>
      <w:r w:rsidR="001A39B6" w:rsidRPr="002F3761">
        <w:rPr>
          <w:rFonts w:eastAsia="Times New Roman" w:cs="Times New Roman"/>
          <w:szCs w:val="24"/>
          <w:lang w:eastAsia="hu-HU"/>
        </w:rPr>
        <w:t>fontos szerepet játszhat a nem-önkéntes elhelyezések és nem-önkéntes kezelések megelőzése, kiváltása terén is. Ahhoz azonban, hogy a támogatott döntéshozatal és a támogató hálózatok betölthessék ezt a szerepüket, a CRPD-ben foglalt rendelkezéseknek és a CRPD Bizottság autoritatív értelmezésének</w:t>
      </w:r>
      <w:r w:rsidR="001A39B6" w:rsidRPr="002F3761">
        <w:rPr>
          <w:rStyle w:val="Lbjegyzet-hivatkozs"/>
          <w:rFonts w:eastAsia="Times New Roman" w:cs="Times New Roman"/>
          <w:szCs w:val="24"/>
          <w:lang w:eastAsia="hu-HU"/>
        </w:rPr>
        <w:footnoteReference w:id="148"/>
      </w:r>
      <w:r w:rsidR="001A39B6" w:rsidRPr="002F3761">
        <w:rPr>
          <w:rFonts w:eastAsia="Times New Roman" w:cs="Times New Roman"/>
          <w:szCs w:val="24"/>
          <w:lang w:eastAsia="hu-HU"/>
        </w:rPr>
        <w:t xml:space="preserve"> megfelelően kell felépülniük és funkcionálniuk.</w:t>
      </w:r>
      <w:r w:rsidR="00CF346F" w:rsidRPr="002F3761">
        <w:rPr>
          <w:rStyle w:val="Lbjegyzet-hivatkozs"/>
          <w:rFonts w:eastAsia="Times New Roman" w:cs="Times New Roman"/>
          <w:szCs w:val="24"/>
          <w:lang w:eastAsia="hu-HU"/>
        </w:rPr>
        <w:footnoteReference w:id="149"/>
      </w:r>
    </w:p>
    <w:p w14:paraId="1C026E9C" w14:textId="77777777" w:rsidR="009A0282" w:rsidRPr="002F3761" w:rsidRDefault="009A0282" w:rsidP="002F3761">
      <w:pPr>
        <w:rPr>
          <w:rFonts w:eastAsia="Times New Roman" w:cs="Times New Roman"/>
          <w:szCs w:val="24"/>
          <w:lang w:eastAsia="hu-HU"/>
        </w:rPr>
      </w:pPr>
    </w:p>
    <w:p w14:paraId="245A1E61" w14:textId="641D3CC0" w:rsidR="002218CF" w:rsidRPr="002F3761" w:rsidRDefault="009A0282" w:rsidP="002F3761">
      <w:pPr>
        <w:rPr>
          <w:rFonts w:eastAsia="Times New Roman" w:cs="Times New Roman"/>
          <w:szCs w:val="24"/>
          <w:lang w:eastAsia="hu-HU"/>
        </w:rPr>
      </w:pPr>
      <w:r w:rsidRPr="002F3761">
        <w:rPr>
          <w:rFonts w:eastAsia="Times New Roman" w:cs="Times New Roman"/>
          <w:szCs w:val="24"/>
          <w:lang w:eastAsia="hu-HU"/>
        </w:rPr>
        <w:t xml:space="preserve">A </w:t>
      </w:r>
      <w:r w:rsidRPr="002F3761">
        <w:rPr>
          <w:rFonts w:eastAsia="Times New Roman" w:cs="Times New Roman"/>
          <w:i/>
          <w:szCs w:val="24"/>
          <w:lang w:eastAsia="hu-HU"/>
        </w:rPr>
        <w:t>Nyílt Párbeszéd (Open Dialogue)</w:t>
      </w:r>
      <w:r w:rsidRPr="002F3761">
        <w:rPr>
          <w:rFonts w:eastAsia="Times New Roman" w:cs="Times New Roman"/>
          <w:szCs w:val="24"/>
          <w:lang w:eastAsia="hu-HU"/>
        </w:rPr>
        <w:t xml:space="preserve"> megközelítés, amelynek hazája a finnországi Nyugat Lappföld, valójában nem alternatívája a hagyományos pszichiátriai szolgáltatásoknak, hanem </w:t>
      </w:r>
      <w:r w:rsidRPr="002F3761">
        <w:rPr>
          <w:rFonts w:eastAsia="Times New Roman" w:cs="Times New Roman"/>
          <w:szCs w:val="24"/>
          <w:lang w:eastAsia="hu-HU"/>
        </w:rPr>
        <w:lastRenderedPageBreak/>
        <w:t xml:space="preserve">ez maga a pszichiátriai szolgáltatás. Maga a Nyílt Párbeszéd </w:t>
      </w:r>
      <w:r w:rsidR="00E93847">
        <w:rPr>
          <w:rFonts w:eastAsia="Times New Roman" w:cs="Times New Roman"/>
          <w:szCs w:val="24"/>
          <w:lang w:eastAsia="hu-HU"/>
        </w:rPr>
        <w:t xml:space="preserve">modell </w:t>
      </w:r>
      <w:r w:rsidR="00B20182" w:rsidRPr="002F3761">
        <w:rPr>
          <w:rFonts w:eastAsia="Times New Roman" w:cs="Times New Roman"/>
          <w:szCs w:val="24"/>
          <w:lang w:eastAsia="hu-HU"/>
        </w:rPr>
        <w:t xml:space="preserve">egyrészről egy filozófiai és elméleti megközelítés, mellyel a mentális egészséggel kapcsolatosan krízist megélt személyekhez, családjaikhoz, valamint támogató hálózataikhoz fordulnak, másrészről pedig egy ellátási rendszer. </w:t>
      </w:r>
      <w:r w:rsidR="002218CF" w:rsidRPr="002F3761">
        <w:rPr>
          <w:rFonts w:eastAsia="Times New Roman" w:cs="Times New Roman"/>
          <w:szCs w:val="24"/>
          <w:lang w:eastAsia="hu-HU"/>
        </w:rPr>
        <w:t xml:space="preserve">A Nyílt Párbeszéd több elméleti modellt </w:t>
      </w:r>
      <w:r w:rsidR="00474478">
        <w:rPr>
          <w:rFonts w:eastAsia="Times New Roman" w:cs="Times New Roman"/>
          <w:szCs w:val="24"/>
          <w:lang w:eastAsia="hu-HU"/>
        </w:rPr>
        <w:t xml:space="preserve">foglal </w:t>
      </w:r>
      <w:r w:rsidR="002218CF" w:rsidRPr="002F3761">
        <w:rPr>
          <w:rFonts w:eastAsia="Times New Roman" w:cs="Times New Roman"/>
          <w:szCs w:val="24"/>
          <w:lang w:eastAsia="hu-HU"/>
        </w:rPr>
        <w:t>magába</w:t>
      </w:r>
      <w:r w:rsidR="00474478">
        <w:rPr>
          <w:rFonts w:eastAsia="Times New Roman" w:cs="Times New Roman"/>
          <w:szCs w:val="24"/>
          <w:lang w:eastAsia="hu-HU"/>
        </w:rPr>
        <w:t>n</w:t>
      </w:r>
      <w:r w:rsidR="002218CF" w:rsidRPr="002F3761">
        <w:rPr>
          <w:rFonts w:eastAsia="Times New Roman" w:cs="Times New Roman"/>
          <w:szCs w:val="24"/>
          <w:lang w:eastAsia="hu-HU"/>
        </w:rPr>
        <w:t xml:space="preserve">, így </w:t>
      </w:r>
      <w:r w:rsidR="00C64948" w:rsidRPr="002F3761">
        <w:rPr>
          <w:rFonts w:eastAsia="Times New Roman" w:cs="Times New Roman"/>
          <w:szCs w:val="24"/>
          <w:lang w:eastAsia="hu-HU"/>
        </w:rPr>
        <w:t xml:space="preserve">például </w:t>
      </w:r>
      <w:r w:rsidR="002218CF" w:rsidRPr="002F3761">
        <w:rPr>
          <w:rFonts w:eastAsia="Times New Roman" w:cs="Times New Roman"/>
          <w:szCs w:val="24"/>
          <w:lang w:eastAsia="hu-HU"/>
        </w:rPr>
        <w:t xml:space="preserve">a szisztematikus családterápiát, a dialógus elméletet és a </w:t>
      </w:r>
      <w:r w:rsidR="00C64948" w:rsidRPr="002F3761">
        <w:rPr>
          <w:rFonts w:eastAsia="Times New Roman" w:cs="Times New Roman"/>
          <w:szCs w:val="24"/>
          <w:lang w:eastAsia="hu-HU"/>
        </w:rPr>
        <w:t>szociálkonstruktivizmust.</w:t>
      </w:r>
    </w:p>
    <w:p w14:paraId="304C428F" w14:textId="77777777" w:rsidR="002218CF" w:rsidRPr="002F3761" w:rsidRDefault="002218CF" w:rsidP="002F3761">
      <w:pPr>
        <w:rPr>
          <w:rFonts w:eastAsia="Times New Roman" w:cs="Times New Roman"/>
          <w:szCs w:val="24"/>
          <w:lang w:eastAsia="hu-HU"/>
        </w:rPr>
      </w:pPr>
    </w:p>
    <w:p w14:paraId="78A24130" w14:textId="77777777" w:rsidR="009A0282" w:rsidRPr="002F3761" w:rsidRDefault="00B20182" w:rsidP="002F3761">
      <w:pPr>
        <w:rPr>
          <w:rFonts w:eastAsia="Times New Roman" w:cs="Times New Roman"/>
          <w:szCs w:val="24"/>
          <w:lang w:eastAsia="hu-HU"/>
        </w:rPr>
      </w:pPr>
      <w:r w:rsidRPr="002F3761">
        <w:rPr>
          <w:rFonts w:eastAsia="Times New Roman" w:cs="Times New Roman"/>
          <w:szCs w:val="24"/>
          <w:lang w:eastAsia="hu-HU"/>
        </w:rPr>
        <w:t>Az 1980-as években a pszichiátriai ellátás nagyon rossz állapotban volt Nyugat Lappföldön, mely abban is megnyilvánult, hogy ez volt az egyik olyan hely</w:t>
      </w:r>
      <w:r w:rsidR="00E93847">
        <w:rPr>
          <w:rFonts w:eastAsia="Times New Roman" w:cs="Times New Roman"/>
          <w:szCs w:val="24"/>
          <w:lang w:eastAsia="hu-HU"/>
        </w:rPr>
        <w:t xml:space="preserve"> Európában</w:t>
      </w:r>
      <w:r w:rsidRPr="002F3761">
        <w:rPr>
          <w:rFonts w:eastAsia="Times New Roman" w:cs="Times New Roman"/>
          <w:szCs w:val="24"/>
          <w:lang w:eastAsia="hu-HU"/>
        </w:rPr>
        <w:t xml:space="preserve">, ahol a legtöbb </w:t>
      </w:r>
      <w:r w:rsidR="00E93847">
        <w:rPr>
          <w:rFonts w:eastAsia="Times New Roman" w:cs="Times New Roman"/>
          <w:szCs w:val="24"/>
          <w:lang w:eastAsia="hu-HU"/>
        </w:rPr>
        <w:t xml:space="preserve">személyt diagnosztizálták </w:t>
      </w:r>
      <w:r w:rsidRPr="002F3761">
        <w:rPr>
          <w:rFonts w:eastAsia="Times New Roman" w:cs="Times New Roman"/>
          <w:szCs w:val="24"/>
          <w:lang w:eastAsia="hu-HU"/>
        </w:rPr>
        <w:t>skizofréniá</w:t>
      </w:r>
      <w:r w:rsidR="00E93847">
        <w:rPr>
          <w:rFonts w:eastAsia="Times New Roman" w:cs="Times New Roman"/>
          <w:szCs w:val="24"/>
          <w:lang w:eastAsia="hu-HU"/>
        </w:rPr>
        <w:t>val</w:t>
      </w:r>
      <w:r w:rsidRPr="002F3761">
        <w:rPr>
          <w:rFonts w:eastAsia="Times New Roman" w:cs="Times New Roman"/>
          <w:szCs w:val="24"/>
          <w:lang w:eastAsia="hu-HU"/>
        </w:rPr>
        <w:t xml:space="preserve">. Manapság itt </w:t>
      </w:r>
      <w:r w:rsidR="00C148AA" w:rsidRPr="002F3761">
        <w:rPr>
          <w:rFonts w:eastAsia="Times New Roman" w:cs="Times New Roman"/>
          <w:szCs w:val="24"/>
          <w:lang w:eastAsia="hu-HU"/>
        </w:rPr>
        <w:t>mutathatók</w:t>
      </w:r>
      <w:r w:rsidR="00E93847">
        <w:rPr>
          <w:rFonts w:eastAsia="Times New Roman" w:cs="Times New Roman"/>
          <w:szCs w:val="24"/>
          <w:lang w:eastAsia="hu-HU"/>
        </w:rPr>
        <w:t xml:space="preserve"> ki</w:t>
      </w:r>
      <w:r w:rsidRPr="002F3761">
        <w:rPr>
          <w:rFonts w:eastAsia="Times New Roman" w:cs="Times New Roman"/>
          <w:szCs w:val="24"/>
          <w:lang w:eastAsia="hu-HU"/>
        </w:rPr>
        <w:t xml:space="preserve"> a </w:t>
      </w:r>
      <w:r w:rsidR="00C148AA" w:rsidRPr="002F3761">
        <w:rPr>
          <w:rFonts w:eastAsia="Times New Roman" w:cs="Times New Roman"/>
          <w:szCs w:val="24"/>
          <w:lang w:eastAsia="hu-HU"/>
        </w:rPr>
        <w:t>legjobb eredmények a nyugati vi</w:t>
      </w:r>
      <w:r w:rsidRPr="002F3761">
        <w:rPr>
          <w:rFonts w:eastAsia="Times New Roman" w:cs="Times New Roman"/>
          <w:szCs w:val="24"/>
          <w:lang w:eastAsia="hu-HU"/>
        </w:rPr>
        <w:t>lágban</w:t>
      </w:r>
      <w:r w:rsidR="00C148AA" w:rsidRPr="002F3761">
        <w:rPr>
          <w:rFonts w:eastAsia="Times New Roman" w:cs="Times New Roman"/>
          <w:szCs w:val="24"/>
          <w:lang w:eastAsia="hu-HU"/>
        </w:rPr>
        <w:t>. Ez megnyilvánul például abban, hogy a pszichózist megélt személyek mintegy 75%-a visszatért a munka vagy a tanulás világába két éven belül és mindössze körülbelül 20%-uk szed még anti-pszichotikumot 2 éves nyomon követés mellett.</w:t>
      </w:r>
    </w:p>
    <w:p w14:paraId="03ABB518" w14:textId="77777777" w:rsidR="009A0282" w:rsidRPr="002F3761" w:rsidRDefault="009A0282" w:rsidP="002F3761">
      <w:pPr>
        <w:rPr>
          <w:rFonts w:eastAsia="Times New Roman" w:cs="Times New Roman"/>
          <w:szCs w:val="24"/>
          <w:lang w:eastAsia="hu-HU"/>
        </w:rPr>
      </w:pPr>
    </w:p>
    <w:p w14:paraId="6D4F077F" w14:textId="77777777" w:rsidR="00C148AA" w:rsidRPr="002F3761" w:rsidRDefault="00C148AA" w:rsidP="002F3761">
      <w:pPr>
        <w:rPr>
          <w:rFonts w:eastAsia="Times New Roman" w:cs="Times New Roman"/>
          <w:szCs w:val="24"/>
          <w:lang w:eastAsia="hu-HU"/>
        </w:rPr>
      </w:pPr>
      <w:r w:rsidRPr="002F3761">
        <w:rPr>
          <w:rFonts w:eastAsia="Times New Roman" w:cs="Times New Roman"/>
          <w:szCs w:val="24"/>
          <w:lang w:eastAsia="hu-HU"/>
        </w:rPr>
        <w:t xml:space="preserve">A Nyílt Párbeszéd </w:t>
      </w:r>
      <w:r w:rsidR="00E93847">
        <w:rPr>
          <w:rFonts w:eastAsia="Times New Roman" w:cs="Times New Roman"/>
          <w:szCs w:val="24"/>
          <w:lang w:eastAsia="hu-HU"/>
        </w:rPr>
        <w:t xml:space="preserve">modell </w:t>
      </w:r>
      <w:r w:rsidRPr="002F3761">
        <w:rPr>
          <w:rFonts w:eastAsia="Times New Roman" w:cs="Times New Roman"/>
          <w:szCs w:val="24"/>
          <w:lang w:eastAsia="hu-HU"/>
        </w:rPr>
        <w:t>arra törekszik, hogy amennyire csak lehetséges</w:t>
      </w:r>
      <w:r w:rsidR="0088527F" w:rsidRPr="002F3761">
        <w:rPr>
          <w:rFonts w:eastAsia="Times New Roman" w:cs="Times New Roman"/>
          <w:szCs w:val="24"/>
          <w:lang w:eastAsia="hu-HU"/>
        </w:rPr>
        <w:t>,</w:t>
      </w:r>
      <w:r w:rsidRPr="002F3761">
        <w:rPr>
          <w:rFonts w:eastAsia="Times New Roman" w:cs="Times New Roman"/>
          <w:szCs w:val="24"/>
          <w:lang w:eastAsia="hu-HU"/>
        </w:rPr>
        <w:t xml:space="preserve"> a saját otthonukban dolgozzon együtt a családokkal és a támogató hálózatokkal annak érdekében, hogy </w:t>
      </w:r>
      <w:r w:rsidR="0088527F" w:rsidRPr="002F3761">
        <w:rPr>
          <w:rFonts w:eastAsia="Times New Roman" w:cs="Times New Roman"/>
          <w:szCs w:val="24"/>
          <w:lang w:eastAsia="hu-HU"/>
        </w:rPr>
        <w:t>az érintett személyek együtt lehessenek,</w:t>
      </w:r>
      <w:r w:rsidRPr="002F3761">
        <w:rPr>
          <w:rFonts w:eastAsia="Times New Roman" w:cs="Times New Roman"/>
          <w:szCs w:val="24"/>
          <w:lang w:eastAsia="hu-HU"/>
        </w:rPr>
        <w:t xml:space="preserve"> </w:t>
      </w:r>
      <w:r w:rsidR="0088527F" w:rsidRPr="002F3761">
        <w:rPr>
          <w:rFonts w:eastAsia="Times New Roman" w:cs="Times New Roman"/>
          <w:szCs w:val="24"/>
          <w:lang w:eastAsia="hu-HU"/>
        </w:rPr>
        <w:t>valamint hogy el</w:t>
      </w:r>
      <w:r w:rsidR="00734E91" w:rsidRPr="002F3761">
        <w:rPr>
          <w:rFonts w:eastAsia="Times New Roman" w:cs="Times New Roman"/>
          <w:szCs w:val="24"/>
          <w:lang w:eastAsia="hu-HU"/>
        </w:rPr>
        <w:t xml:space="preserve"> tudjanak köteleződni egy párbeszédben.</w:t>
      </w:r>
      <w:r w:rsidR="0088527F" w:rsidRPr="002F3761">
        <w:rPr>
          <w:rFonts w:eastAsia="Times New Roman" w:cs="Times New Roman"/>
          <w:szCs w:val="24"/>
          <w:lang w:eastAsia="hu-HU"/>
        </w:rPr>
        <w:t xml:space="preserve"> A tapasztalat az, hogy ha a család vagy a támogató hálózat egy krízis helyzetben el tudja fogadni a szélsőséges érzelmeket és tolerálni tudja a bizonytalanságot, akkor </w:t>
      </w:r>
      <w:r w:rsidR="002218CF" w:rsidRPr="002F3761">
        <w:rPr>
          <w:rFonts w:eastAsia="Times New Roman" w:cs="Times New Roman"/>
          <w:szCs w:val="24"/>
          <w:lang w:eastAsia="hu-HU"/>
        </w:rPr>
        <w:t xml:space="preserve">ez értelmet nyer </w:t>
      </w:r>
      <w:r w:rsidR="0088527F" w:rsidRPr="002F3761">
        <w:rPr>
          <w:rFonts w:eastAsia="Times New Roman" w:cs="Times New Roman"/>
          <w:szCs w:val="24"/>
          <w:lang w:eastAsia="hu-HU"/>
        </w:rPr>
        <w:t xml:space="preserve">az együtt töltött idő </w:t>
      </w:r>
      <w:r w:rsidR="002218CF" w:rsidRPr="002F3761">
        <w:rPr>
          <w:rFonts w:eastAsia="Times New Roman" w:cs="Times New Roman"/>
          <w:szCs w:val="24"/>
          <w:lang w:eastAsia="hu-HU"/>
        </w:rPr>
        <w:t>alatt és a gyógyulás is lehetséges.</w:t>
      </w:r>
      <w:r w:rsidR="00C64948" w:rsidRPr="002F3761">
        <w:rPr>
          <w:rStyle w:val="Lbjegyzet-hivatkozs"/>
          <w:rFonts w:eastAsia="Times New Roman" w:cs="Times New Roman"/>
          <w:szCs w:val="24"/>
          <w:lang w:eastAsia="hu-HU"/>
        </w:rPr>
        <w:footnoteReference w:id="150"/>
      </w:r>
    </w:p>
    <w:p w14:paraId="0BDF92AB" w14:textId="77777777" w:rsidR="009A0282" w:rsidRPr="002F3761" w:rsidRDefault="009A0282" w:rsidP="002F3761">
      <w:pPr>
        <w:rPr>
          <w:rFonts w:eastAsia="Times New Roman" w:cs="Times New Roman"/>
          <w:szCs w:val="24"/>
          <w:lang w:eastAsia="hu-HU"/>
        </w:rPr>
      </w:pPr>
    </w:p>
    <w:p w14:paraId="1B0A6398" w14:textId="77777777" w:rsidR="002039B2" w:rsidRPr="002F3761" w:rsidRDefault="002039B2" w:rsidP="002F3761">
      <w:pPr>
        <w:rPr>
          <w:rFonts w:eastAsia="Times New Roman" w:cs="Times New Roman"/>
          <w:szCs w:val="24"/>
          <w:lang w:eastAsia="hu-HU"/>
        </w:rPr>
      </w:pPr>
      <w:r w:rsidRPr="002F3761">
        <w:rPr>
          <w:rFonts w:eastAsia="Times New Roman" w:cs="Times New Roman"/>
          <w:szCs w:val="24"/>
          <w:lang w:eastAsia="hu-HU"/>
        </w:rPr>
        <w:t>A Nyílt Párbeszéd modell – többek között az alábbi princípiumokra épül:</w:t>
      </w:r>
    </w:p>
    <w:p w14:paraId="789B7DE8" w14:textId="77777777" w:rsidR="002039B2" w:rsidRPr="002F3761" w:rsidRDefault="002039B2" w:rsidP="002F3761">
      <w:pPr>
        <w:pStyle w:val="Listaszerbekezds"/>
        <w:numPr>
          <w:ilvl w:val="0"/>
          <w:numId w:val="31"/>
        </w:numPr>
        <w:rPr>
          <w:rFonts w:eastAsia="Times New Roman" w:cs="Times New Roman"/>
          <w:szCs w:val="24"/>
          <w:lang w:eastAsia="hu-HU"/>
        </w:rPr>
      </w:pPr>
      <w:r w:rsidRPr="002F3761">
        <w:rPr>
          <w:rFonts w:eastAsia="Times New Roman" w:cs="Times New Roman"/>
          <w:szCs w:val="24"/>
          <w:lang w:eastAsia="hu-HU"/>
        </w:rPr>
        <w:t>azonnali válasz</w:t>
      </w:r>
      <w:r w:rsidR="00E93847">
        <w:rPr>
          <w:rFonts w:eastAsia="Times New Roman" w:cs="Times New Roman"/>
          <w:szCs w:val="24"/>
          <w:lang w:eastAsia="hu-HU"/>
        </w:rPr>
        <w:t xml:space="preserve"> </w:t>
      </w:r>
      <w:r w:rsidRPr="002F3761">
        <w:rPr>
          <w:rFonts w:eastAsia="Times New Roman" w:cs="Times New Roman"/>
          <w:szCs w:val="24"/>
          <w:lang w:eastAsia="hu-HU"/>
        </w:rPr>
        <w:t>a krízisre az első 24 órán belül;</w:t>
      </w:r>
    </w:p>
    <w:p w14:paraId="003A1643" w14:textId="77777777" w:rsidR="002039B2" w:rsidRPr="002F3761" w:rsidRDefault="002039B2" w:rsidP="002F3761">
      <w:pPr>
        <w:pStyle w:val="Listaszerbekezds"/>
        <w:numPr>
          <w:ilvl w:val="0"/>
          <w:numId w:val="31"/>
        </w:numPr>
        <w:rPr>
          <w:rFonts w:eastAsia="Times New Roman" w:cs="Times New Roman"/>
          <w:szCs w:val="24"/>
          <w:lang w:eastAsia="hu-HU"/>
        </w:rPr>
      </w:pPr>
      <w:r w:rsidRPr="002F3761">
        <w:rPr>
          <w:rFonts w:eastAsia="Times New Roman" w:cs="Times New Roman"/>
          <w:szCs w:val="24"/>
          <w:lang w:eastAsia="hu-HU"/>
        </w:rPr>
        <w:t>az érintett személy családjának és az őt körülvevő társadalmi háló (támogató hálózat) más kulcsfontosságú tagjainak a kezdetektől történő részvétele;</w:t>
      </w:r>
    </w:p>
    <w:p w14:paraId="4F74A7E2" w14:textId="77777777" w:rsidR="002039B2" w:rsidRPr="002F3761" w:rsidRDefault="002039B2" w:rsidP="002F3761">
      <w:pPr>
        <w:pStyle w:val="Listaszerbekezds"/>
        <w:numPr>
          <w:ilvl w:val="0"/>
          <w:numId w:val="31"/>
        </w:numPr>
        <w:rPr>
          <w:rFonts w:eastAsia="Times New Roman" w:cs="Times New Roman"/>
          <w:szCs w:val="24"/>
          <w:lang w:eastAsia="hu-HU"/>
        </w:rPr>
      </w:pPr>
      <w:r w:rsidRPr="002F3761">
        <w:rPr>
          <w:rFonts w:eastAsia="Times New Roman" w:cs="Times New Roman"/>
          <w:szCs w:val="24"/>
          <w:lang w:eastAsia="hu-HU"/>
        </w:rPr>
        <w:t>a kórházi ellátás elkerülése, olyan gyakorisággal</w:t>
      </w:r>
      <w:r w:rsidR="00F91858" w:rsidRPr="002F3761">
        <w:rPr>
          <w:rFonts w:cs="Times New Roman"/>
          <w:szCs w:val="24"/>
        </w:rPr>
        <w:t xml:space="preserve"> történő </w:t>
      </w:r>
      <w:r w:rsidR="00F91858" w:rsidRPr="002F3761">
        <w:rPr>
          <w:rFonts w:eastAsia="Times New Roman" w:cs="Times New Roman"/>
          <w:szCs w:val="24"/>
          <w:lang w:eastAsia="hu-HU"/>
        </w:rPr>
        <w:t>otthoni látogatásokkal</w:t>
      </w:r>
      <w:r w:rsidRPr="002F3761">
        <w:rPr>
          <w:rFonts w:eastAsia="Times New Roman" w:cs="Times New Roman"/>
          <w:szCs w:val="24"/>
          <w:lang w:eastAsia="hu-HU"/>
        </w:rPr>
        <w:t xml:space="preserve">, </w:t>
      </w:r>
      <w:r w:rsidR="00F91858" w:rsidRPr="002F3761">
        <w:rPr>
          <w:rFonts w:eastAsia="Times New Roman" w:cs="Times New Roman"/>
          <w:szCs w:val="24"/>
          <w:lang w:eastAsia="hu-HU"/>
        </w:rPr>
        <w:t>amilyen intenzitással erre szükség van;</w:t>
      </w:r>
    </w:p>
    <w:p w14:paraId="49597500" w14:textId="77777777" w:rsidR="00F91858" w:rsidRPr="002F3761" w:rsidRDefault="00F91858" w:rsidP="002F3761">
      <w:pPr>
        <w:pStyle w:val="Listaszerbekezds"/>
        <w:numPr>
          <w:ilvl w:val="0"/>
          <w:numId w:val="31"/>
        </w:numPr>
        <w:rPr>
          <w:rFonts w:eastAsia="Times New Roman" w:cs="Times New Roman"/>
          <w:szCs w:val="24"/>
          <w:lang w:eastAsia="hu-HU"/>
        </w:rPr>
      </w:pPr>
      <w:r w:rsidRPr="002F3761">
        <w:rPr>
          <w:rFonts w:eastAsia="Times New Roman" w:cs="Times New Roman"/>
          <w:szCs w:val="24"/>
          <w:lang w:eastAsia="hu-HU"/>
        </w:rPr>
        <w:t>Nyílt Párbeszéd a találkozókon minden releváns kérdéssel kapcsolatosan.</w:t>
      </w:r>
      <w:r w:rsidRPr="002F3761">
        <w:rPr>
          <w:rStyle w:val="Lbjegyzet-hivatkozs"/>
          <w:rFonts w:eastAsia="Times New Roman" w:cs="Times New Roman"/>
          <w:szCs w:val="24"/>
          <w:lang w:eastAsia="hu-HU"/>
        </w:rPr>
        <w:footnoteReference w:id="151"/>
      </w:r>
    </w:p>
    <w:p w14:paraId="07EA5872" w14:textId="77777777" w:rsidR="002039B2" w:rsidRPr="002F3761" w:rsidRDefault="002039B2" w:rsidP="002F3761">
      <w:pPr>
        <w:rPr>
          <w:rFonts w:eastAsia="Times New Roman" w:cs="Times New Roman"/>
          <w:szCs w:val="24"/>
          <w:lang w:eastAsia="hu-HU"/>
        </w:rPr>
      </w:pPr>
    </w:p>
    <w:p w14:paraId="444FBFEA" w14:textId="77777777" w:rsidR="003A53FF" w:rsidRPr="002F3761" w:rsidRDefault="0058092F" w:rsidP="002F3761">
      <w:pPr>
        <w:rPr>
          <w:rFonts w:eastAsia="Times New Roman" w:cs="Times New Roman"/>
          <w:szCs w:val="24"/>
          <w:lang w:eastAsia="hu-HU"/>
        </w:rPr>
      </w:pPr>
      <w:r w:rsidRPr="002F3761">
        <w:rPr>
          <w:rFonts w:eastAsia="Times New Roman" w:cs="Times New Roman"/>
          <w:szCs w:val="24"/>
          <w:lang w:eastAsia="hu-HU"/>
        </w:rPr>
        <w:t xml:space="preserve">A Nyílt Párbeszédről </w:t>
      </w:r>
      <w:r w:rsidR="003843AB" w:rsidRPr="002F3761">
        <w:rPr>
          <w:rFonts w:eastAsia="Times New Roman" w:cs="Times New Roman"/>
          <w:szCs w:val="24"/>
          <w:lang w:eastAsia="hu-HU"/>
        </w:rPr>
        <w:t xml:space="preserve">Daniel Mackler </w:t>
      </w:r>
      <w:r w:rsidRPr="002F3761">
        <w:rPr>
          <w:rFonts w:eastAsia="Times New Roman" w:cs="Times New Roman"/>
          <w:szCs w:val="24"/>
          <w:lang w:eastAsia="hu-HU"/>
        </w:rPr>
        <w:t>kész</w:t>
      </w:r>
      <w:r w:rsidR="003843AB" w:rsidRPr="002F3761">
        <w:rPr>
          <w:rFonts w:eastAsia="Times New Roman" w:cs="Times New Roman"/>
          <w:szCs w:val="24"/>
          <w:lang w:eastAsia="hu-HU"/>
        </w:rPr>
        <w:t xml:space="preserve">ített </w:t>
      </w:r>
      <w:r w:rsidRPr="002F3761">
        <w:rPr>
          <w:rFonts w:eastAsia="Times New Roman" w:cs="Times New Roman"/>
          <w:szCs w:val="24"/>
          <w:lang w:eastAsia="hu-HU"/>
        </w:rPr>
        <w:t>egy film</w:t>
      </w:r>
      <w:r w:rsidR="003843AB" w:rsidRPr="002F3761">
        <w:rPr>
          <w:rFonts w:eastAsia="Times New Roman" w:cs="Times New Roman"/>
          <w:szCs w:val="24"/>
          <w:lang w:eastAsia="hu-HU"/>
        </w:rPr>
        <w:t>et</w:t>
      </w:r>
      <w:r w:rsidRPr="002F3761">
        <w:rPr>
          <w:rFonts w:eastAsia="Times New Roman" w:cs="Times New Roman"/>
          <w:szCs w:val="24"/>
          <w:lang w:eastAsia="hu-HU"/>
        </w:rPr>
        <w:t>, melyben pszichiáterek, pszichológusok, nővérek és újságírók tesznek tanúságot a gyógyszermentes felépülés sikereiről és egyben megfogalmazzák a tradicionális pszichiátria kritikáját.</w:t>
      </w:r>
      <w:r w:rsidRPr="002F3761">
        <w:rPr>
          <w:rStyle w:val="Lbjegyzet-hivatkozs"/>
          <w:rFonts w:eastAsia="Times New Roman" w:cs="Times New Roman"/>
          <w:szCs w:val="24"/>
          <w:lang w:eastAsia="hu-HU"/>
        </w:rPr>
        <w:footnoteReference w:id="152"/>
      </w:r>
      <w:r w:rsidR="003843AB" w:rsidRPr="002F3761">
        <w:rPr>
          <w:rFonts w:eastAsia="Times New Roman" w:cs="Times New Roman"/>
          <w:szCs w:val="24"/>
          <w:lang w:eastAsia="hu-HU"/>
        </w:rPr>
        <w:t xml:space="preserve"> A Nyílt Párbeszéd eredményességéről </w:t>
      </w:r>
      <w:r w:rsidR="008C2235" w:rsidRPr="002F3761">
        <w:rPr>
          <w:rFonts w:eastAsia="Times New Roman" w:cs="Times New Roman"/>
          <w:szCs w:val="24"/>
          <w:lang w:eastAsia="hu-HU"/>
        </w:rPr>
        <w:t>több tanulmány is született</w:t>
      </w:r>
      <w:r w:rsidR="00AA428A" w:rsidRPr="002F3761">
        <w:rPr>
          <w:rFonts w:eastAsia="Times New Roman" w:cs="Times New Roman"/>
          <w:szCs w:val="24"/>
          <w:lang w:eastAsia="hu-HU"/>
        </w:rPr>
        <w:t>, így a</w:t>
      </w:r>
      <w:r w:rsidR="003A53FF" w:rsidRPr="002F3761">
        <w:rPr>
          <w:rFonts w:eastAsia="Times New Roman" w:cs="Times New Roman"/>
          <w:szCs w:val="24"/>
          <w:lang w:eastAsia="hu-HU"/>
        </w:rPr>
        <w:t>z „</w:t>
      </w:r>
      <w:r w:rsidR="008C2235" w:rsidRPr="002F3761">
        <w:rPr>
          <w:rFonts w:eastAsia="Times New Roman" w:cs="Times New Roman"/>
          <w:szCs w:val="24"/>
          <w:lang w:eastAsia="hu-HU"/>
        </w:rPr>
        <w:t>Egy kétéves nyomon követés</w:t>
      </w:r>
      <w:r w:rsidR="003A53FF" w:rsidRPr="002F3761">
        <w:rPr>
          <w:rFonts w:eastAsia="Times New Roman" w:cs="Times New Roman"/>
          <w:szCs w:val="24"/>
          <w:lang w:eastAsia="hu-HU"/>
        </w:rPr>
        <w:t xml:space="preserve"> a Nyílt Párbeszéd által alkalmazott kezelésről az első epizódos pszichózissal kapcsolatosan: </w:t>
      </w:r>
      <w:r w:rsidR="00EE0204">
        <w:rPr>
          <w:rFonts w:eastAsia="Times New Roman" w:cs="Times New Roman"/>
          <w:szCs w:val="24"/>
          <w:lang w:eastAsia="hu-HU"/>
        </w:rPr>
        <w:t>Csökken a</w:t>
      </w:r>
      <w:r w:rsidR="003A53FF" w:rsidRPr="002F3761">
        <w:rPr>
          <w:rFonts w:eastAsia="Times New Roman" w:cs="Times New Roman"/>
          <w:szCs w:val="24"/>
          <w:lang w:eastAsia="hu-HU"/>
        </w:rPr>
        <w:t xml:space="preserve"> kórházi elhelyezés és a neuroleptikus gy</w:t>
      </w:r>
      <w:r w:rsidR="00EE0204">
        <w:rPr>
          <w:rFonts w:eastAsia="Times New Roman" w:cs="Times New Roman"/>
          <w:szCs w:val="24"/>
          <w:lang w:eastAsia="hu-HU"/>
        </w:rPr>
        <w:t>ógyszerek iránti szükséglet</w:t>
      </w:r>
      <w:r w:rsidR="003A53FF" w:rsidRPr="002F3761">
        <w:rPr>
          <w:rFonts w:eastAsia="Times New Roman" w:cs="Times New Roman"/>
          <w:szCs w:val="24"/>
          <w:lang w:eastAsia="hu-HU"/>
        </w:rPr>
        <w:t>”</w:t>
      </w:r>
      <w:r w:rsidR="003A53FF" w:rsidRPr="002F3761">
        <w:rPr>
          <w:rStyle w:val="Lbjegyzet-hivatkozs"/>
          <w:rFonts w:eastAsia="Times New Roman" w:cs="Times New Roman"/>
          <w:szCs w:val="24"/>
          <w:lang w:eastAsia="hu-HU"/>
        </w:rPr>
        <w:footnoteReference w:id="153"/>
      </w:r>
      <w:r w:rsidR="003A53FF" w:rsidRPr="002F3761">
        <w:rPr>
          <w:rFonts w:eastAsia="Times New Roman" w:cs="Times New Roman"/>
          <w:szCs w:val="24"/>
          <w:lang w:eastAsia="hu-HU"/>
        </w:rPr>
        <w:t xml:space="preserve"> című tanulmányban a szerzők azt bizonyították, hogy</w:t>
      </w:r>
    </w:p>
    <w:p w14:paraId="42825E2E" w14:textId="77777777" w:rsidR="003A53FF" w:rsidRPr="002F3761" w:rsidRDefault="003A53FF" w:rsidP="002F3761">
      <w:pPr>
        <w:pStyle w:val="Listaszerbekezds"/>
        <w:numPr>
          <w:ilvl w:val="0"/>
          <w:numId w:val="30"/>
        </w:numPr>
        <w:rPr>
          <w:rFonts w:eastAsia="Times New Roman" w:cs="Times New Roman"/>
          <w:szCs w:val="24"/>
          <w:lang w:eastAsia="hu-HU"/>
        </w:rPr>
      </w:pPr>
      <w:r w:rsidRPr="002F3761">
        <w:rPr>
          <w:rFonts w:eastAsia="Times New Roman" w:cs="Times New Roman"/>
          <w:szCs w:val="24"/>
          <w:lang w:eastAsia="hu-HU"/>
        </w:rPr>
        <w:t>az akut pszichotikus betegek otthoni kezelése egy járható út;</w:t>
      </w:r>
    </w:p>
    <w:p w14:paraId="1E63F350" w14:textId="77777777" w:rsidR="003A53FF" w:rsidRPr="002F3761" w:rsidRDefault="003A53FF" w:rsidP="002F3761">
      <w:pPr>
        <w:pStyle w:val="Listaszerbekezds"/>
        <w:numPr>
          <w:ilvl w:val="0"/>
          <w:numId w:val="30"/>
        </w:numPr>
        <w:rPr>
          <w:rFonts w:eastAsia="Times New Roman" w:cs="Times New Roman"/>
          <w:szCs w:val="24"/>
          <w:lang w:eastAsia="hu-HU"/>
        </w:rPr>
      </w:pPr>
      <w:r w:rsidRPr="002F3761">
        <w:rPr>
          <w:rFonts w:eastAsia="Times New Roman" w:cs="Times New Roman"/>
          <w:szCs w:val="24"/>
          <w:lang w:eastAsia="hu-HU"/>
        </w:rPr>
        <w:t xml:space="preserve">a </w:t>
      </w:r>
      <w:r w:rsidR="00AA428A" w:rsidRPr="002F3761">
        <w:rPr>
          <w:rFonts w:eastAsia="Times New Roman" w:cs="Times New Roman"/>
          <w:szCs w:val="24"/>
          <w:lang w:eastAsia="hu-HU"/>
        </w:rPr>
        <w:t xml:space="preserve">megfelelő társadalmi támogatással együtt járó </w:t>
      </w:r>
      <w:r w:rsidRPr="002F3761">
        <w:rPr>
          <w:rFonts w:eastAsia="Times New Roman" w:cs="Times New Roman"/>
          <w:szCs w:val="24"/>
          <w:lang w:eastAsia="hu-HU"/>
        </w:rPr>
        <w:t>Nyílt Párbeszéd megközelítés csökkenti a neuroleptikus gyógyszerek használatának szükségességét;</w:t>
      </w:r>
    </w:p>
    <w:p w14:paraId="7B7A0D6A" w14:textId="77777777" w:rsidR="003A53FF" w:rsidRPr="002F3761" w:rsidRDefault="00AA428A" w:rsidP="002F3761">
      <w:pPr>
        <w:pStyle w:val="Listaszerbekezds"/>
        <w:numPr>
          <w:ilvl w:val="0"/>
          <w:numId w:val="30"/>
        </w:numPr>
        <w:rPr>
          <w:rFonts w:eastAsia="Times New Roman" w:cs="Times New Roman"/>
          <w:szCs w:val="24"/>
          <w:lang w:eastAsia="hu-HU"/>
        </w:rPr>
      </w:pPr>
      <w:r w:rsidRPr="002F3761">
        <w:rPr>
          <w:rFonts w:eastAsia="Times New Roman" w:cs="Times New Roman"/>
          <w:szCs w:val="24"/>
          <w:lang w:eastAsia="hu-HU"/>
        </w:rPr>
        <w:lastRenderedPageBreak/>
        <w:t>a Nyílt Párbeszéd modell egy két éves periódus alatt elérte, hogy csökkentek a pszichotikus tünetek, fokozódott a pszichológiai működés, és növekedett a munkába visszatérők száma.</w:t>
      </w:r>
    </w:p>
    <w:p w14:paraId="1461950B" w14:textId="77777777" w:rsidR="003843AB" w:rsidRPr="002F3761" w:rsidRDefault="008C2235" w:rsidP="002F3761">
      <w:pPr>
        <w:rPr>
          <w:rFonts w:eastAsia="Times New Roman" w:cs="Times New Roman"/>
          <w:szCs w:val="24"/>
          <w:lang w:eastAsia="hu-HU"/>
        </w:rPr>
      </w:pPr>
      <w:r w:rsidRPr="002F3761">
        <w:rPr>
          <w:rFonts w:eastAsia="Times New Roman" w:cs="Times New Roman"/>
          <w:szCs w:val="24"/>
          <w:lang w:eastAsia="hu-HU"/>
        </w:rPr>
        <w:t xml:space="preserve">Az </w:t>
      </w:r>
      <w:r w:rsidR="003843AB" w:rsidRPr="002F3761">
        <w:rPr>
          <w:rFonts w:eastAsia="Times New Roman" w:cs="Times New Roman"/>
          <w:szCs w:val="24"/>
          <w:lang w:eastAsia="hu-HU"/>
        </w:rPr>
        <w:t>„Öt év tapasztalata az elsőepizódos non-affektív pszichózisról a nyílt párbeszéd megközelítés keretei között: A kezelés elvei, nyomon követés eredményei, és két esettanulmány”</w:t>
      </w:r>
      <w:r w:rsidR="003843AB" w:rsidRPr="002F3761">
        <w:rPr>
          <w:rStyle w:val="Lbjegyzet-hivatkozs"/>
          <w:rFonts w:eastAsia="Times New Roman" w:cs="Times New Roman"/>
          <w:szCs w:val="24"/>
          <w:lang w:eastAsia="hu-HU"/>
        </w:rPr>
        <w:footnoteReference w:id="154"/>
      </w:r>
      <w:r w:rsidR="003843AB" w:rsidRPr="002F3761">
        <w:rPr>
          <w:rFonts w:eastAsia="Times New Roman" w:cs="Times New Roman"/>
          <w:szCs w:val="24"/>
          <w:lang w:eastAsia="hu-HU"/>
        </w:rPr>
        <w:t xml:space="preserve"> című </w:t>
      </w:r>
      <w:r w:rsidRPr="002F3761">
        <w:rPr>
          <w:rFonts w:eastAsia="Times New Roman" w:cs="Times New Roman"/>
          <w:szCs w:val="24"/>
          <w:lang w:eastAsia="hu-HU"/>
        </w:rPr>
        <w:t>tanulmány</w:t>
      </w:r>
      <w:r w:rsidR="00503C37" w:rsidRPr="002F3761">
        <w:rPr>
          <w:rFonts w:eastAsia="Times New Roman" w:cs="Times New Roman"/>
          <w:szCs w:val="24"/>
          <w:lang w:eastAsia="hu-HU"/>
        </w:rPr>
        <w:t xml:space="preserve"> a Nyílt Párbeszédet jó példaként mutatja be és zárszavában megjegyzi, hogy ez „nem egy drága megközelítés, sokkal inkább egy költséghatékony megoldás a közösség számára.”</w:t>
      </w:r>
      <w:r w:rsidRPr="002F3761">
        <w:rPr>
          <w:rStyle w:val="Lbjegyzet-hivatkozs"/>
          <w:rFonts w:eastAsia="Times New Roman" w:cs="Times New Roman"/>
          <w:szCs w:val="24"/>
          <w:lang w:eastAsia="hu-HU"/>
        </w:rPr>
        <w:footnoteReference w:id="155"/>
      </w:r>
    </w:p>
    <w:p w14:paraId="7E9F9272" w14:textId="77777777" w:rsidR="003843AB" w:rsidRPr="002F3761" w:rsidRDefault="003843AB" w:rsidP="002F3761">
      <w:pPr>
        <w:rPr>
          <w:rFonts w:eastAsia="Times New Roman" w:cs="Times New Roman"/>
          <w:szCs w:val="24"/>
          <w:lang w:eastAsia="hu-HU"/>
        </w:rPr>
      </w:pPr>
    </w:p>
    <w:p w14:paraId="5C6BAF92" w14:textId="55EAF0FF" w:rsidR="004E7CDD" w:rsidRDefault="00F91858" w:rsidP="00144553">
      <w:pPr>
        <w:tabs>
          <w:tab w:val="left" w:pos="720"/>
        </w:tabs>
        <w:rPr>
          <w:rFonts w:cs="Times New Roman"/>
          <w:szCs w:val="24"/>
        </w:rPr>
      </w:pPr>
      <w:r w:rsidRPr="002F3761">
        <w:rPr>
          <w:rFonts w:eastAsia="Times New Roman" w:cs="Times New Roman"/>
          <w:szCs w:val="24"/>
          <w:lang w:eastAsia="hu-HU"/>
        </w:rPr>
        <w:t xml:space="preserve">A támogató hálózatokra, támogatott döntéshozatalra további jó példa, például, a </w:t>
      </w:r>
      <w:r w:rsidRPr="002C26E8">
        <w:rPr>
          <w:rFonts w:eastAsia="DejaVuSans" w:cs="Times New Roman"/>
          <w:i/>
          <w:kern w:val="1"/>
          <w:szCs w:val="24"/>
        </w:rPr>
        <w:t>KeyRing</w:t>
      </w:r>
      <w:r w:rsidRPr="002C26E8">
        <w:rPr>
          <w:rFonts w:eastAsia="DejaVuSans" w:cs="Times New Roman"/>
          <w:kern w:val="1"/>
          <w:szCs w:val="24"/>
        </w:rPr>
        <w:t xml:space="preserve">, a </w:t>
      </w:r>
      <w:r w:rsidR="0052199B" w:rsidRPr="002C26E8">
        <w:rPr>
          <w:rFonts w:eastAsia="DejaVuSans" w:cs="Times New Roman"/>
          <w:i/>
          <w:kern w:val="1"/>
          <w:szCs w:val="24"/>
        </w:rPr>
        <w:t>Vela Microboards</w:t>
      </w:r>
      <w:r w:rsidR="0052199B" w:rsidRPr="002C26E8">
        <w:rPr>
          <w:rFonts w:eastAsia="DejaVuSans" w:cs="Times New Roman"/>
          <w:kern w:val="1"/>
          <w:szCs w:val="24"/>
        </w:rPr>
        <w:t xml:space="preserve"> </w:t>
      </w:r>
      <w:r w:rsidRPr="002C26E8">
        <w:rPr>
          <w:rFonts w:eastAsia="DejaVuSans" w:cs="Times New Roman"/>
          <w:kern w:val="1"/>
          <w:szCs w:val="24"/>
        </w:rPr>
        <w:t xml:space="preserve">és a </w:t>
      </w:r>
      <w:r w:rsidRPr="002C26E8">
        <w:rPr>
          <w:rFonts w:eastAsia="DejaVuSans" w:cs="Times New Roman"/>
          <w:i/>
          <w:kern w:val="1"/>
          <w:szCs w:val="24"/>
        </w:rPr>
        <w:t>Circles Network</w:t>
      </w:r>
      <w:r w:rsidR="00CF346F" w:rsidRPr="002C26E8">
        <w:rPr>
          <w:rFonts w:eastAsia="DejaVuSans" w:cs="Times New Roman"/>
          <w:kern w:val="1"/>
          <w:szCs w:val="24"/>
        </w:rPr>
        <w:t>.</w:t>
      </w:r>
    </w:p>
    <w:p w14:paraId="2A3B5CDE" w14:textId="77777777" w:rsidR="004E7CDD" w:rsidRDefault="004E7CDD" w:rsidP="002F3761">
      <w:pPr>
        <w:rPr>
          <w:rFonts w:cs="Times New Roman"/>
          <w:szCs w:val="24"/>
        </w:rPr>
      </w:pPr>
    </w:p>
    <w:p w14:paraId="19082862" w14:textId="53DCA40B" w:rsidR="004E7CDD" w:rsidRPr="00D66731" w:rsidRDefault="004E7CDD" w:rsidP="0084101D">
      <w:pPr>
        <w:rPr>
          <w:rFonts w:cs="Times New Roman"/>
          <w:szCs w:val="24"/>
        </w:rPr>
      </w:pPr>
      <w:r w:rsidRPr="00D66731">
        <w:rPr>
          <w:rFonts w:cs="Times New Roman"/>
          <w:szCs w:val="24"/>
        </w:rPr>
        <w:t xml:space="preserve">A KeyRing olyan emberekre épül, akik a saját otthonaikban </w:t>
      </w:r>
      <w:r w:rsidR="001453EE" w:rsidRPr="00D66731">
        <w:rPr>
          <w:rFonts w:cs="Times New Roman"/>
          <w:szCs w:val="24"/>
        </w:rPr>
        <w:t>élnek,</w:t>
      </w:r>
      <w:r w:rsidRPr="00D66731">
        <w:rPr>
          <w:rFonts w:cs="Times New Roman"/>
          <w:szCs w:val="24"/>
        </w:rPr>
        <w:t xml:space="preserve"> de megosztják egymással</w:t>
      </w:r>
      <w:r w:rsidR="001453EE" w:rsidRPr="00D66731">
        <w:rPr>
          <w:rFonts w:cs="Times New Roman"/>
          <w:szCs w:val="24"/>
        </w:rPr>
        <w:t xml:space="preserve"> és az őket körülvevő közösséggel a tudásukat és tehetségüket. Minden egyes hálózatban van egy önkéntes, aki rendszeresen látogatja a tagokat és </w:t>
      </w:r>
      <w:r w:rsidR="00D66731">
        <w:rPr>
          <w:rFonts w:cs="Times New Roman"/>
          <w:szCs w:val="24"/>
        </w:rPr>
        <w:t>támogatást nyújt</w:t>
      </w:r>
      <w:r w:rsidR="001453EE" w:rsidRPr="00D66731">
        <w:rPr>
          <w:rFonts w:cs="Times New Roman"/>
          <w:szCs w:val="24"/>
        </w:rPr>
        <w:t xml:space="preserve"> a csoportnak az együttműködésben. Az önkéntes olyan, mint egy jó szomszéd, aki </w:t>
      </w:r>
      <w:r w:rsidR="00D66731" w:rsidRPr="00D66731">
        <w:rPr>
          <w:rFonts w:cs="Times New Roman"/>
          <w:szCs w:val="24"/>
        </w:rPr>
        <w:t>segít,</w:t>
      </w:r>
      <w:r w:rsidR="001453EE" w:rsidRPr="00D66731">
        <w:rPr>
          <w:rFonts w:cs="Times New Roman"/>
          <w:szCs w:val="24"/>
        </w:rPr>
        <w:t xml:space="preserve"> ha nehézségek</w:t>
      </w:r>
      <w:r w:rsidR="00D66731">
        <w:rPr>
          <w:rFonts w:cs="Times New Roman"/>
          <w:szCs w:val="24"/>
        </w:rPr>
        <w:t xml:space="preserve"> vannak.</w:t>
      </w:r>
      <w:r w:rsidR="001453EE" w:rsidRPr="00D66731">
        <w:rPr>
          <w:rFonts w:cs="Times New Roman"/>
          <w:szCs w:val="24"/>
        </w:rPr>
        <w:t xml:space="preserve"> Mivel az önkéntes a tagok közeli kö</w:t>
      </w:r>
      <w:r w:rsidR="00144553">
        <w:rPr>
          <w:rFonts w:cs="Times New Roman"/>
          <w:szCs w:val="24"/>
        </w:rPr>
        <w:t>rnyezetében</w:t>
      </w:r>
      <w:r w:rsidR="001453EE" w:rsidRPr="00D66731">
        <w:rPr>
          <w:rFonts w:cs="Times New Roman"/>
          <w:szCs w:val="24"/>
        </w:rPr>
        <w:t xml:space="preserve"> él, </w:t>
      </w:r>
      <w:r w:rsidR="00144553">
        <w:rPr>
          <w:rFonts w:cs="Times New Roman"/>
          <w:szCs w:val="24"/>
        </w:rPr>
        <w:t>ezért ismeri a történéseket és segítséget tud nyújtani, hogy az információ áramoljon</w:t>
      </w:r>
      <w:r w:rsidR="00B62591">
        <w:rPr>
          <w:rFonts w:cs="Times New Roman"/>
          <w:szCs w:val="24"/>
        </w:rPr>
        <w:t>,</w:t>
      </w:r>
      <w:r w:rsidR="00144553">
        <w:rPr>
          <w:rFonts w:cs="Times New Roman"/>
          <w:szCs w:val="24"/>
        </w:rPr>
        <w:t xml:space="preserve"> </w:t>
      </w:r>
      <w:r w:rsidR="00A40168">
        <w:rPr>
          <w:rFonts w:cs="Times New Roman"/>
          <w:szCs w:val="24"/>
        </w:rPr>
        <w:t>valamint,</w:t>
      </w:r>
      <w:r w:rsidR="00144553">
        <w:rPr>
          <w:rFonts w:cs="Times New Roman"/>
          <w:szCs w:val="24"/>
        </w:rPr>
        <w:t xml:space="preserve"> hogy a tagok kapcsolatokat építhessenek és tartsanak fenn. A KeyRing-nél közösségi támogató munkások és támogatott lakhatás koordinátorok is dolgoznak annak érdekében, hogy a tagok minden szükséges támogatást megkapjanak. A KeyRing a közösségi kapcsolatok fontosságára épül.</w:t>
      </w:r>
      <w:r w:rsidR="00144553">
        <w:rPr>
          <w:rStyle w:val="Lbjegyzet-hivatkozs"/>
          <w:rFonts w:cs="Times New Roman"/>
          <w:szCs w:val="24"/>
        </w:rPr>
        <w:footnoteReference w:id="156"/>
      </w:r>
    </w:p>
    <w:p w14:paraId="0A3887A1" w14:textId="77777777" w:rsidR="001453EE" w:rsidRPr="00D66731" w:rsidRDefault="001453EE" w:rsidP="0084101D">
      <w:pPr>
        <w:rPr>
          <w:rFonts w:cs="Times New Roman"/>
          <w:szCs w:val="24"/>
        </w:rPr>
      </w:pPr>
    </w:p>
    <w:p w14:paraId="1D953DF8" w14:textId="3E4140A6" w:rsidR="0084101D" w:rsidRDefault="0084101D" w:rsidP="0084101D">
      <w:pPr>
        <w:rPr>
          <w:rFonts w:cs="Times New Roman"/>
          <w:szCs w:val="24"/>
        </w:rPr>
      </w:pPr>
      <w:r>
        <w:rPr>
          <w:rFonts w:cs="Times New Roman"/>
          <w:szCs w:val="24"/>
        </w:rPr>
        <w:t>A Microboard</w:t>
      </w:r>
      <w:r w:rsidRPr="0084101D">
        <w:rPr>
          <w:rFonts w:cs="Times New Roman"/>
          <w:szCs w:val="24"/>
        </w:rPr>
        <w:t>™ egy ki</w:t>
      </w:r>
      <w:r>
        <w:rPr>
          <w:rFonts w:cs="Times New Roman"/>
          <w:szCs w:val="24"/>
        </w:rPr>
        <w:t>s</w:t>
      </w:r>
      <w:r w:rsidRPr="0084101D">
        <w:rPr>
          <w:rFonts w:cs="Times New Roman"/>
          <w:szCs w:val="24"/>
        </w:rPr>
        <w:t xml:space="preserve"> (mikro) csoport</w:t>
      </w:r>
      <w:r>
        <w:rPr>
          <w:rFonts w:cs="Times New Roman"/>
          <w:szCs w:val="24"/>
        </w:rPr>
        <w:t xml:space="preserve">, mely elkötelezett </w:t>
      </w:r>
      <w:r w:rsidRPr="0084101D">
        <w:rPr>
          <w:rFonts w:cs="Times New Roman"/>
          <w:szCs w:val="24"/>
        </w:rPr>
        <w:t>család</w:t>
      </w:r>
      <w:r>
        <w:rPr>
          <w:rFonts w:cs="Times New Roman"/>
          <w:szCs w:val="24"/>
        </w:rPr>
        <w:t>tagokból</w:t>
      </w:r>
      <w:r w:rsidRPr="0084101D">
        <w:rPr>
          <w:rFonts w:cs="Times New Roman"/>
          <w:szCs w:val="24"/>
        </w:rPr>
        <w:t xml:space="preserve"> és barátok</w:t>
      </w:r>
      <w:r>
        <w:rPr>
          <w:rFonts w:cs="Times New Roman"/>
          <w:szCs w:val="24"/>
        </w:rPr>
        <w:t>ból áll</w:t>
      </w:r>
      <w:r w:rsidRPr="0084101D">
        <w:rPr>
          <w:rFonts w:cs="Times New Roman"/>
          <w:szCs w:val="24"/>
        </w:rPr>
        <w:t xml:space="preserve">, akik </w:t>
      </w:r>
      <w:r>
        <w:rPr>
          <w:rFonts w:cs="Times New Roman"/>
          <w:szCs w:val="24"/>
        </w:rPr>
        <w:t xml:space="preserve">azért fognak össze </w:t>
      </w:r>
      <w:r w:rsidRPr="0084101D">
        <w:rPr>
          <w:rFonts w:cs="Times New Roman"/>
          <w:szCs w:val="24"/>
        </w:rPr>
        <w:t>egy adott</w:t>
      </w:r>
      <w:r>
        <w:rPr>
          <w:rFonts w:cs="Times New Roman"/>
          <w:szCs w:val="24"/>
        </w:rPr>
        <w:t xml:space="preserve"> személlyel, hogy </w:t>
      </w:r>
      <w:r w:rsidRPr="0084101D">
        <w:rPr>
          <w:rFonts w:cs="Times New Roman"/>
          <w:szCs w:val="24"/>
        </w:rPr>
        <w:t xml:space="preserve">egy non-profit </w:t>
      </w:r>
      <w:r>
        <w:rPr>
          <w:rFonts w:cs="Times New Roman"/>
          <w:szCs w:val="24"/>
        </w:rPr>
        <w:t>szervezetet hozzanak létre.</w:t>
      </w:r>
      <w:r w:rsidR="00DD2038">
        <w:rPr>
          <w:rFonts w:cs="Times New Roman"/>
          <w:szCs w:val="24"/>
        </w:rPr>
        <w:t xml:space="preserve"> Összefognak azért, hogy támogatást nyújtsanak az érintett személynek az élettervezésben; hogy ki merjen állni, fel tudjon lép</w:t>
      </w:r>
      <w:r w:rsidR="00474478">
        <w:rPr>
          <w:rFonts w:cs="Times New Roman"/>
          <w:szCs w:val="24"/>
        </w:rPr>
        <w:t>ni</w:t>
      </w:r>
      <w:r w:rsidR="00DD2038">
        <w:rPr>
          <w:rFonts w:cs="Times New Roman"/>
          <w:szCs w:val="24"/>
        </w:rPr>
        <w:t xml:space="preserve"> a szükségleteiért; ellenőrzik az érintett személynek nyújtott szolgáltatásokat; biztonságot nyújtanak; és hidat képeznek a szélesebb értelemben vett közösséghez. A Vela egy jó példa arra, hogy miként építsünk fel egy személyközpontú mikro csoportot, Microboard-ot. A Vela már több mint 900 Microboard létrehozását segítette elő a kanadai British Columbiában.</w:t>
      </w:r>
      <w:r w:rsidR="00DD2038">
        <w:rPr>
          <w:rStyle w:val="Lbjegyzet-hivatkozs"/>
          <w:rFonts w:cs="Times New Roman"/>
          <w:szCs w:val="24"/>
        </w:rPr>
        <w:footnoteReference w:id="157"/>
      </w:r>
    </w:p>
    <w:p w14:paraId="10C64EE3" w14:textId="77777777" w:rsidR="00144553" w:rsidRDefault="00144553" w:rsidP="0084101D">
      <w:pPr>
        <w:rPr>
          <w:rFonts w:cs="Times New Roman"/>
          <w:szCs w:val="24"/>
        </w:rPr>
      </w:pPr>
    </w:p>
    <w:p w14:paraId="5C625CC1" w14:textId="1A955FAD" w:rsidR="00DD2038" w:rsidRDefault="004E7CDD" w:rsidP="0084101D">
      <w:pPr>
        <w:rPr>
          <w:rFonts w:cs="Times New Roman"/>
          <w:szCs w:val="24"/>
        </w:rPr>
      </w:pPr>
      <w:r>
        <w:rPr>
          <w:rFonts w:cs="Times New Roman"/>
          <w:szCs w:val="24"/>
        </w:rPr>
        <w:t xml:space="preserve">A Circles Network egy brit önkéntes szervezet, melynek székhelye </w:t>
      </w:r>
      <w:r w:rsidRPr="004E7CDD">
        <w:rPr>
          <w:rFonts w:cs="Times New Roman"/>
          <w:szCs w:val="24"/>
        </w:rPr>
        <w:t>Warwickshire</w:t>
      </w:r>
      <w:r>
        <w:rPr>
          <w:rFonts w:cs="Times New Roman"/>
          <w:szCs w:val="24"/>
        </w:rPr>
        <w:t xml:space="preserve">-ben található. A Circles Network az </w:t>
      </w:r>
      <w:r w:rsidRPr="004E7CDD">
        <w:rPr>
          <w:rFonts w:cs="Times New Roman"/>
          <w:szCs w:val="24"/>
        </w:rPr>
        <w:t xml:space="preserve">igazságosság, érdekképviselet, </w:t>
      </w:r>
      <w:r>
        <w:rPr>
          <w:rFonts w:cs="Times New Roman"/>
          <w:szCs w:val="24"/>
        </w:rPr>
        <w:t>empowerment</w:t>
      </w:r>
      <w:r w:rsidRPr="004E7CDD">
        <w:rPr>
          <w:rFonts w:cs="Times New Roman"/>
          <w:szCs w:val="24"/>
        </w:rPr>
        <w:t xml:space="preserve"> és </w:t>
      </w:r>
      <w:r>
        <w:rPr>
          <w:rFonts w:cs="Times New Roman"/>
          <w:szCs w:val="24"/>
        </w:rPr>
        <w:t xml:space="preserve">a </w:t>
      </w:r>
      <w:r w:rsidRPr="004E7CDD">
        <w:rPr>
          <w:rFonts w:cs="Times New Roman"/>
          <w:szCs w:val="24"/>
        </w:rPr>
        <w:t xml:space="preserve">barátságok </w:t>
      </w:r>
      <w:r>
        <w:rPr>
          <w:rFonts w:cs="Times New Roman"/>
          <w:szCs w:val="24"/>
        </w:rPr>
        <w:t>talajára épülő befogadó közösségeket épít. A Network-nek jelentős tapasztalata van támogató hálózatok kialakításában, az elmúlt több mint két évtizedben több ezer támogatói hálózat létrehozásában és fejlesztésében nyújtottak segítséget Nagy-Britannia minden részében.</w:t>
      </w:r>
      <w:r>
        <w:rPr>
          <w:rStyle w:val="Lbjegyzet-hivatkozs"/>
          <w:rFonts w:cs="Times New Roman"/>
          <w:szCs w:val="24"/>
        </w:rPr>
        <w:footnoteReference w:id="158"/>
      </w:r>
    </w:p>
    <w:p w14:paraId="2E2D0109" w14:textId="77777777" w:rsidR="003E5452" w:rsidRPr="002F3761" w:rsidRDefault="003E5452" w:rsidP="002F3761">
      <w:pPr>
        <w:rPr>
          <w:rFonts w:cs="Times New Roman"/>
          <w:szCs w:val="24"/>
        </w:rPr>
      </w:pPr>
    </w:p>
    <w:p w14:paraId="241E2898" w14:textId="712CE0C2" w:rsidR="00243393" w:rsidRPr="000B427C" w:rsidRDefault="00804684" w:rsidP="000B427C">
      <w:pPr>
        <w:pStyle w:val="Cmsor2"/>
        <w:rPr>
          <w:rFonts w:ascii="Times New Roman" w:hAnsi="Times New Roman" w:cs="Times New Roman"/>
          <w:color w:val="auto"/>
        </w:rPr>
      </w:pPr>
      <w:bookmarkStart w:id="24" w:name="_Toc451515114"/>
      <w:r w:rsidRPr="000B427C">
        <w:rPr>
          <w:rFonts w:ascii="Times New Roman" w:hAnsi="Times New Roman" w:cs="Times New Roman"/>
          <w:color w:val="auto"/>
        </w:rPr>
        <w:t>5.4.</w:t>
      </w:r>
      <w:r w:rsidR="00CF4E97" w:rsidRPr="000B427C">
        <w:rPr>
          <w:rFonts w:ascii="Times New Roman" w:hAnsi="Times New Roman" w:cs="Times New Roman"/>
          <w:color w:val="auto"/>
        </w:rPr>
        <w:t xml:space="preserve"> </w:t>
      </w:r>
      <w:r w:rsidR="001023CD" w:rsidRPr="000B427C">
        <w:rPr>
          <w:rFonts w:ascii="Times New Roman" w:hAnsi="Times New Roman" w:cs="Times New Roman"/>
          <w:color w:val="auto"/>
        </w:rPr>
        <w:t>Személyi segítés</w:t>
      </w:r>
      <w:bookmarkEnd w:id="24"/>
    </w:p>
    <w:p w14:paraId="34080458" w14:textId="77777777" w:rsidR="00F33F73" w:rsidRPr="002F3761" w:rsidRDefault="00F33F73" w:rsidP="002F3761">
      <w:pPr>
        <w:rPr>
          <w:rFonts w:cs="Times New Roman"/>
          <w:szCs w:val="24"/>
        </w:rPr>
      </w:pPr>
    </w:p>
    <w:p w14:paraId="329B757E" w14:textId="77777777" w:rsidR="00EE5D23" w:rsidRPr="002F3761" w:rsidRDefault="00BF0FA9" w:rsidP="002F3761">
      <w:pPr>
        <w:rPr>
          <w:rFonts w:cs="Times New Roman"/>
          <w:szCs w:val="24"/>
        </w:rPr>
      </w:pPr>
      <w:r w:rsidRPr="002F3761">
        <w:rPr>
          <w:rFonts w:cs="Times New Roman"/>
          <w:szCs w:val="24"/>
        </w:rPr>
        <w:t xml:space="preserve">A személyi segítő fogalma </w:t>
      </w:r>
      <w:r w:rsidR="000320F3" w:rsidRPr="002F3761">
        <w:rPr>
          <w:rFonts w:cs="Times New Roman"/>
          <w:szCs w:val="24"/>
        </w:rPr>
        <w:t xml:space="preserve">nem ismeretlen </w:t>
      </w:r>
      <w:r w:rsidR="00EE5D23" w:rsidRPr="002F3761">
        <w:rPr>
          <w:rFonts w:cs="Times New Roman"/>
          <w:szCs w:val="24"/>
        </w:rPr>
        <w:t>Magyarországon, a</w:t>
      </w:r>
      <w:r w:rsidR="000320F3" w:rsidRPr="002F3761">
        <w:rPr>
          <w:rFonts w:cs="Times New Roman"/>
          <w:szCs w:val="24"/>
        </w:rPr>
        <w:t xml:space="preserve"> személyi segítő szolgálat működtetése különösen is fontos feladata a támogató szolgálatoknak.</w:t>
      </w:r>
      <w:r w:rsidR="000320F3" w:rsidRPr="002F3761">
        <w:rPr>
          <w:rStyle w:val="Lbjegyzet-hivatkozs"/>
          <w:rFonts w:cs="Times New Roman"/>
          <w:szCs w:val="24"/>
        </w:rPr>
        <w:footnoteReference w:id="159"/>
      </w:r>
      <w:r w:rsidR="003505D5" w:rsidRPr="002F3761">
        <w:rPr>
          <w:rFonts w:cs="Times New Roman"/>
          <w:szCs w:val="24"/>
        </w:rPr>
        <w:t xml:space="preserve"> A </w:t>
      </w:r>
      <w:r w:rsidR="003505D5" w:rsidRPr="002F3761">
        <w:rPr>
          <w:rFonts w:cs="Times New Roman"/>
          <w:i/>
          <w:szCs w:val="24"/>
        </w:rPr>
        <w:t>Személyi Segítés a Közösségi Létezésben</w:t>
      </w:r>
      <w:r w:rsidR="003505D5" w:rsidRPr="002F3761">
        <w:rPr>
          <w:rFonts w:cs="Times New Roman"/>
          <w:szCs w:val="24"/>
        </w:rPr>
        <w:t xml:space="preserve"> (</w:t>
      </w:r>
      <w:r w:rsidR="003505D5" w:rsidRPr="002F3761">
        <w:rPr>
          <w:rFonts w:cs="Times New Roman"/>
          <w:i/>
          <w:szCs w:val="24"/>
        </w:rPr>
        <w:t>Personal Assistance in Community Existence</w:t>
      </w:r>
      <w:r w:rsidR="003505D5" w:rsidRPr="002F3761">
        <w:rPr>
          <w:rFonts w:cs="Times New Roman"/>
          <w:szCs w:val="24"/>
        </w:rPr>
        <w:t xml:space="preserve"> – a továbbiakban: </w:t>
      </w:r>
      <w:r w:rsidR="003505D5" w:rsidRPr="002F3761">
        <w:rPr>
          <w:rFonts w:cs="Times New Roman"/>
          <w:szCs w:val="24"/>
        </w:rPr>
        <w:lastRenderedPageBreak/>
        <w:t xml:space="preserve">PACE) </w:t>
      </w:r>
      <w:r w:rsidR="00E84CEE" w:rsidRPr="002F3761">
        <w:rPr>
          <w:rFonts w:cs="Times New Roman"/>
          <w:szCs w:val="24"/>
        </w:rPr>
        <w:t xml:space="preserve">az </w:t>
      </w:r>
      <w:r w:rsidR="003505D5" w:rsidRPr="002F3761">
        <w:rPr>
          <w:rFonts w:cs="Times New Roman"/>
          <w:szCs w:val="24"/>
        </w:rPr>
        <w:t>Amerikai Egyesült Államok</w:t>
      </w:r>
      <w:r w:rsidR="00E84CEE" w:rsidRPr="002F3761">
        <w:rPr>
          <w:rFonts w:cs="Times New Roman"/>
          <w:szCs w:val="24"/>
        </w:rPr>
        <w:t xml:space="preserve"> Nemzeti Felelősségteremtés Központ</w:t>
      </w:r>
      <w:r w:rsidR="00C60F71" w:rsidRPr="002F3761">
        <w:rPr>
          <w:rFonts w:cs="Times New Roman"/>
          <w:szCs w:val="24"/>
        </w:rPr>
        <w:t>jának (National Empowerment Center) azon megközelítése, melynek célja a „mentális betegséggel” élő személyek olyan jelegű személyi segítése, amely a mentális betegségből történő teljes felépülést kívánja elérni úgy, hogy az érintett személy saját ritmusához, sebességéhez igazodik. A PACE alapelvei</w:t>
      </w:r>
    </w:p>
    <w:p w14:paraId="10F72E3B" w14:textId="77777777" w:rsidR="00C60F71" w:rsidRPr="002F3761" w:rsidRDefault="00C60F71" w:rsidP="002F3761">
      <w:pPr>
        <w:pStyle w:val="Listaszerbekezds"/>
        <w:numPr>
          <w:ilvl w:val="0"/>
          <w:numId w:val="23"/>
        </w:numPr>
        <w:rPr>
          <w:rFonts w:cs="Times New Roman"/>
          <w:szCs w:val="24"/>
        </w:rPr>
      </w:pPr>
      <w:r w:rsidRPr="002F3761">
        <w:rPr>
          <w:rFonts w:cs="Times New Roman"/>
          <w:szCs w:val="24"/>
        </w:rPr>
        <w:t>önrendelkezés;</w:t>
      </w:r>
    </w:p>
    <w:p w14:paraId="75B53D89" w14:textId="77777777" w:rsidR="00C60F71" w:rsidRPr="002F3761" w:rsidRDefault="00C60F71" w:rsidP="002F3761">
      <w:pPr>
        <w:pStyle w:val="Listaszerbekezds"/>
        <w:numPr>
          <w:ilvl w:val="0"/>
          <w:numId w:val="23"/>
        </w:numPr>
        <w:rPr>
          <w:rFonts w:cs="Times New Roman"/>
          <w:szCs w:val="24"/>
        </w:rPr>
      </w:pPr>
      <w:r w:rsidRPr="002F3761">
        <w:rPr>
          <w:rFonts w:cs="Times New Roman"/>
          <w:szCs w:val="24"/>
        </w:rPr>
        <w:t>hinni a személyben;</w:t>
      </w:r>
    </w:p>
    <w:p w14:paraId="4506A223" w14:textId="77777777" w:rsidR="00C60F71" w:rsidRPr="002F3761" w:rsidRDefault="00C60F71" w:rsidP="002F3761">
      <w:pPr>
        <w:pStyle w:val="Listaszerbekezds"/>
        <w:numPr>
          <w:ilvl w:val="0"/>
          <w:numId w:val="23"/>
        </w:numPr>
        <w:rPr>
          <w:rFonts w:cs="Times New Roman"/>
          <w:szCs w:val="24"/>
        </w:rPr>
      </w:pPr>
      <w:r w:rsidRPr="002F3761">
        <w:rPr>
          <w:rFonts w:cs="Times New Roman"/>
          <w:szCs w:val="24"/>
        </w:rPr>
        <w:t>hit a teljes felépülésben;</w:t>
      </w:r>
    </w:p>
    <w:p w14:paraId="2A86EBD0" w14:textId="77777777" w:rsidR="00C60F71" w:rsidRPr="002F3761" w:rsidRDefault="00C60F71" w:rsidP="002F3761">
      <w:pPr>
        <w:pStyle w:val="Listaszerbekezds"/>
        <w:numPr>
          <w:ilvl w:val="0"/>
          <w:numId w:val="23"/>
        </w:numPr>
        <w:rPr>
          <w:rFonts w:cs="Times New Roman"/>
          <w:szCs w:val="24"/>
        </w:rPr>
      </w:pPr>
      <w:r w:rsidRPr="002F3761">
        <w:rPr>
          <w:rFonts w:cs="Times New Roman"/>
          <w:szCs w:val="24"/>
        </w:rPr>
        <w:t>bizalom;</w:t>
      </w:r>
    </w:p>
    <w:p w14:paraId="15114EE6" w14:textId="77777777" w:rsidR="00C60F71" w:rsidRPr="002F3761" w:rsidRDefault="00C60F71" w:rsidP="002F3761">
      <w:pPr>
        <w:pStyle w:val="Listaszerbekezds"/>
        <w:numPr>
          <w:ilvl w:val="0"/>
          <w:numId w:val="23"/>
        </w:numPr>
        <w:rPr>
          <w:rFonts w:cs="Times New Roman"/>
          <w:szCs w:val="24"/>
        </w:rPr>
      </w:pPr>
      <w:r w:rsidRPr="002F3761">
        <w:rPr>
          <w:rFonts w:cs="Times New Roman"/>
          <w:szCs w:val="24"/>
        </w:rPr>
        <w:t>tisztelet;</w:t>
      </w:r>
    </w:p>
    <w:p w14:paraId="540C9A35" w14:textId="77777777" w:rsidR="00C60F71" w:rsidRPr="002F3761" w:rsidRDefault="00C60F71" w:rsidP="002F3761">
      <w:pPr>
        <w:pStyle w:val="Listaszerbekezds"/>
        <w:numPr>
          <w:ilvl w:val="0"/>
          <w:numId w:val="23"/>
        </w:numPr>
        <w:rPr>
          <w:rFonts w:cs="Times New Roman"/>
          <w:szCs w:val="24"/>
        </w:rPr>
      </w:pPr>
      <w:r w:rsidRPr="002F3761">
        <w:rPr>
          <w:rFonts w:cs="Times New Roman"/>
          <w:szCs w:val="24"/>
        </w:rPr>
        <w:t>kényszermentesség.</w:t>
      </w:r>
      <w:r w:rsidR="00F72C69" w:rsidRPr="002F3761">
        <w:rPr>
          <w:rStyle w:val="Lbjegyzet-hivatkozs"/>
          <w:rFonts w:cs="Times New Roman"/>
          <w:szCs w:val="24"/>
        </w:rPr>
        <w:footnoteReference w:id="160"/>
      </w:r>
    </w:p>
    <w:p w14:paraId="0284B621" w14:textId="77777777" w:rsidR="000320F3" w:rsidRPr="002F3761" w:rsidRDefault="000320F3" w:rsidP="002F3761">
      <w:pPr>
        <w:rPr>
          <w:rFonts w:cs="Times New Roman"/>
          <w:szCs w:val="24"/>
        </w:rPr>
      </w:pPr>
    </w:p>
    <w:p w14:paraId="384BBF6B" w14:textId="77777777" w:rsidR="00604F9B" w:rsidRPr="002F3761" w:rsidRDefault="00C60F71" w:rsidP="002F3761">
      <w:pPr>
        <w:rPr>
          <w:rFonts w:cs="Times New Roman"/>
          <w:szCs w:val="24"/>
        </w:rPr>
      </w:pPr>
      <w:r w:rsidRPr="002F3761">
        <w:rPr>
          <w:rFonts w:cs="Times New Roman"/>
          <w:szCs w:val="24"/>
        </w:rPr>
        <w:t>A PACE alternatívaként született a</w:t>
      </w:r>
      <w:r w:rsidR="00604F9B" w:rsidRPr="002F3761">
        <w:rPr>
          <w:rFonts w:cs="Times New Roman"/>
          <w:szCs w:val="24"/>
        </w:rPr>
        <w:t xml:space="preserve"> Programok az</w:t>
      </w:r>
      <w:r w:rsidRPr="002F3761">
        <w:rPr>
          <w:rFonts w:cs="Times New Roman"/>
          <w:szCs w:val="24"/>
        </w:rPr>
        <w:t xml:space="preserve"> Ass</w:t>
      </w:r>
      <w:r w:rsidR="00604F9B" w:rsidRPr="002F3761">
        <w:rPr>
          <w:rFonts w:cs="Times New Roman"/>
          <w:szCs w:val="24"/>
        </w:rPr>
        <w:t>zertív Közösségi Kezelésben (Programs</w:t>
      </w:r>
      <w:r w:rsidR="00EE0204">
        <w:rPr>
          <w:rFonts w:cs="Times New Roman"/>
          <w:szCs w:val="24"/>
        </w:rPr>
        <w:t xml:space="preserve"> </w:t>
      </w:r>
      <w:r w:rsidR="00604F9B" w:rsidRPr="002F3761">
        <w:rPr>
          <w:rFonts w:cs="Times New Roman"/>
          <w:szCs w:val="24"/>
        </w:rPr>
        <w:t>in Assertive Community Treatment – a továbbiakban: PACT) iránnyal szemben. A PACT célja</w:t>
      </w:r>
    </w:p>
    <w:p w14:paraId="4CFB44E3" w14:textId="77777777" w:rsidR="00604F9B" w:rsidRPr="002F3761" w:rsidRDefault="00604F9B" w:rsidP="002F3761">
      <w:pPr>
        <w:pStyle w:val="Listaszerbekezds"/>
        <w:numPr>
          <w:ilvl w:val="0"/>
          <w:numId w:val="24"/>
        </w:numPr>
        <w:rPr>
          <w:rFonts w:cs="Times New Roman"/>
          <w:szCs w:val="24"/>
        </w:rPr>
      </w:pPr>
      <w:r w:rsidRPr="002F3761">
        <w:rPr>
          <w:rFonts w:cs="Times New Roman"/>
          <w:szCs w:val="24"/>
        </w:rPr>
        <w:t>szimptómák stabilizációja,</w:t>
      </w:r>
    </w:p>
    <w:p w14:paraId="5E8EA137" w14:textId="77777777" w:rsidR="00604F9B" w:rsidRPr="002F3761" w:rsidRDefault="00604F9B" w:rsidP="002F3761">
      <w:pPr>
        <w:pStyle w:val="Listaszerbekezds"/>
        <w:numPr>
          <w:ilvl w:val="0"/>
          <w:numId w:val="24"/>
        </w:numPr>
        <w:rPr>
          <w:rFonts w:cs="Times New Roman"/>
          <w:szCs w:val="24"/>
        </w:rPr>
      </w:pPr>
      <w:r w:rsidRPr="002F3761">
        <w:rPr>
          <w:rFonts w:cs="Times New Roman"/>
          <w:szCs w:val="24"/>
        </w:rPr>
        <w:t>visszaesés megelőzése;</w:t>
      </w:r>
    </w:p>
    <w:p w14:paraId="20CB9246" w14:textId="77777777" w:rsidR="00604F9B" w:rsidRPr="002F3761" w:rsidRDefault="00604F9B" w:rsidP="002F3761">
      <w:pPr>
        <w:pStyle w:val="Listaszerbekezds"/>
        <w:numPr>
          <w:ilvl w:val="0"/>
          <w:numId w:val="24"/>
        </w:numPr>
        <w:rPr>
          <w:rFonts w:cs="Times New Roman"/>
          <w:szCs w:val="24"/>
        </w:rPr>
      </w:pPr>
      <w:r w:rsidRPr="002F3761">
        <w:rPr>
          <w:rFonts w:cs="Times New Roman"/>
          <w:szCs w:val="24"/>
        </w:rPr>
        <w:t>alapvető szükségletek kielégítése.</w:t>
      </w:r>
    </w:p>
    <w:p w14:paraId="3CB7525C" w14:textId="5BFE5038" w:rsidR="00604F9B" w:rsidRPr="002F3761" w:rsidRDefault="00604F9B" w:rsidP="002F3761">
      <w:pPr>
        <w:rPr>
          <w:rFonts w:cs="Times New Roman"/>
          <w:szCs w:val="24"/>
        </w:rPr>
      </w:pPr>
      <w:r w:rsidRPr="002F3761">
        <w:rPr>
          <w:rFonts w:cs="Times New Roman"/>
          <w:szCs w:val="24"/>
        </w:rPr>
        <w:t xml:space="preserve">A PACT </w:t>
      </w:r>
      <w:r w:rsidRPr="002F3761">
        <w:rPr>
          <w:rFonts w:cs="Times New Roman"/>
          <w:i/>
          <w:szCs w:val="24"/>
        </w:rPr>
        <w:t>rövidtávon</w:t>
      </w:r>
      <w:r w:rsidRPr="002F3761">
        <w:rPr>
          <w:rFonts w:cs="Times New Roman"/>
          <w:szCs w:val="24"/>
        </w:rPr>
        <w:t xml:space="preserve"> azt célozza, hogy segítséget nyújtson a betegeknek a kórházból a közösségbe való visszatérés idejére. Ez a folyamat önkéntes alapon történik. A PACT </w:t>
      </w:r>
      <w:r w:rsidRPr="002F3761">
        <w:rPr>
          <w:rFonts w:cs="Times New Roman"/>
          <w:i/>
          <w:szCs w:val="24"/>
        </w:rPr>
        <w:t>hosszútávon</w:t>
      </w:r>
      <w:r w:rsidRPr="002F3761">
        <w:rPr>
          <w:rFonts w:cs="Times New Roman"/>
          <w:szCs w:val="24"/>
        </w:rPr>
        <w:t xml:space="preserve"> viszont már nem önkéntes alapon, hanem kötelező jelleggel, intruzív módon és függőséget indukálva működik. </w:t>
      </w:r>
      <w:r w:rsidR="00F72C69" w:rsidRPr="002F3761">
        <w:rPr>
          <w:rFonts w:cs="Times New Roman"/>
          <w:szCs w:val="24"/>
        </w:rPr>
        <w:t>Habár az érintett személyek a közösségben élhetnek, szorosan megfigyelik őket, és újra kórházba kerülhetnek, ha nem veszik be a gyógyszereiket. Ez az atmoszféra bizalmatlanságot eredményez és a felépülés ellen hat.</w:t>
      </w:r>
      <w:r w:rsidR="00F72C69" w:rsidRPr="002F3761">
        <w:rPr>
          <w:rStyle w:val="Lbjegyzet-hivatkozs"/>
          <w:rFonts w:cs="Times New Roman"/>
          <w:szCs w:val="24"/>
        </w:rPr>
        <w:footnoteReference w:id="161"/>
      </w:r>
      <w:r w:rsidR="005C1906" w:rsidRPr="002F3761">
        <w:rPr>
          <w:rFonts w:cs="Times New Roman"/>
          <w:szCs w:val="24"/>
        </w:rPr>
        <w:t xml:space="preserve"> </w:t>
      </w:r>
      <w:r w:rsidR="002F5B3F" w:rsidRPr="002F3761">
        <w:rPr>
          <w:rFonts w:cs="Times New Roman"/>
          <w:szCs w:val="24"/>
        </w:rPr>
        <w:t xml:space="preserve">Nagyon fontosak lehetnek </w:t>
      </w:r>
      <w:r w:rsidR="00474478">
        <w:rPr>
          <w:rFonts w:cs="Times New Roman"/>
          <w:szCs w:val="24"/>
        </w:rPr>
        <w:t>ezek</w:t>
      </w:r>
      <w:r w:rsidR="00A47536" w:rsidRPr="002F3761">
        <w:rPr>
          <w:rFonts w:cs="Times New Roman"/>
          <w:szCs w:val="24"/>
        </w:rPr>
        <w:t xml:space="preserve"> </w:t>
      </w:r>
      <w:r w:rsidR="002F5B3F" w:rsidRPr="002F3761">
        <w:rPr>
          <w:rFonts w:cs="Times New Roman"/>
          <w:szCs w:val="24"/>
        </w:rPr>
        <w:t xml:space="preserve">a PACT-hoz kötődő </w:t>
      </w:r>
      <w:r w:rsidR="00EE0204">
        <w:rPr>
          <w:rFonts w:cs="Times New Roman"/>
          <w:szCs w:val="24"/>
        </w:rPr>
        <w:t xml:space="preserve">negatív </w:t>
      </w:r>
      <w:r w:rsidR="002F5B3F" w:rsidRPr="002F3761">
        <w:rPr>
          <w:rFonts w:cs="Times New Roman"/>
          <w:szCs w:val="24"/>
        </w:rPr>
        <w:t>tanulságok Magyarországon is, hiszen a medikális paradigma keretei között felvetődik</w:t>
      </w:r>
      <w:r w:rsidR="00263CBD" w:rsidRPr="002F3761">
        <w:rPr>
          <w:rFonts w:cs="Times New Roman"/>
          <w:szCs w:val="24"/>
        </w:rPr>
        <w:t xml:space="preserve"> például</w:t>
      </w:r>
      <w:r w:rsidR="002F5B3F" w:rsidRPr="002F3761">
        <w:rPr>
          <w:rFonts w:cs="Times New Roman"/>
          <w:szCs w:val="24"/>
        </w:rPr>
        <w:t xml:space="preserve"> a </w:t>
      </w:r>
      <w:r w:rsidR="002F5B3F" w:rsidRPr="002F3761">
        <w:rPr>
          <w:rFonts w:cs="Times New Roman"/>
          <w:i/>
          <w:szCs w:val="24"/>
        </w:rPr>
        <w:t>nem-önkéntes ambuláns kezelés</w:t>
      </w:r>
      <w:r w:rsidR="005976EA" w:rsidRPr="002F3761">
        <w:rPr>
          <w:rStyle w:val="Lbjegyzet-hivatkozs"/>
          <w:rFonts w:cs="Times New Roman"/>
          <w:szCs w:val="24"/>
        </w:rPr>
        <w:footnoteReference w:id="162"/>
      </w:r>
      <w:r w:rsidR="002F5B3F" w:rsidRPr="002F3761">
        <w:rPr>
          <w:rFonts w:cs="Times New Roman"/>
          <w:szCs w:val="24"/>
        </w:rPr>
        <w:t xml:space="preserve"> </w:t>
      </w:r>
      <w:r w:rsidR="00263CBD" w:rsidRPr="002F3761">
        <w:rPr>
          <w:rFonts w:cs="Times New Roman"/>
          <w:szCs w:val="24"/>
        </w:rPr>
        <w:t xml:space="preserve">vagy a </w:t>
      </w:r>
      <w:r w:rsidR="00263CBD" w:rsidRPr="002F3761">
        <w:rPr>
          <w:rFonts w:cs="Times New Roman"/>
          <w:i/>
          <w:szCs w:val="24"/>
        </w:rPr>
        <w:t>nem-önkéntes viselkedésterápiás kezelés</w:t>
      </w:r>
      <w:r w:rsidR="00263CBD" w:rsidRPr="002F3761">
        <w:rPr>
          <w:rStyle w:val="Lbjegyzet-hivatkozs"/>
          <w:rFonts w:cs="Times New Roman"/>
          <w:szCs w:val="24"/>
        </w:rPr>
        <w:footnoteReference w:id="163"/>
      </w:r>
      <w:r w:rsidR="00263CBD" w:rsidRPr="002F3761">
        <w:rPr>
          <w:rFonts w:cs="Times New Roman"/>
          <w:szCs w:val="24"/>
        </w:rPr>
        <w:t xml:space="preserve"> bevezetésének gondolata</w:t>
      </w:r>
      <w:r w:rsidR="00A47536" w:rsidRPr="002F3761">
        <w:rPr>
          <w:rFonts w:cs="Times New Roman"/>
          <w:szCs w:val="24"/>
        </w:rPr>
        <w:t xml:space="preserve"> azzal, hogy </w:t>
      </w:r>
      <w:r w:rsidR="00384F9F" w:rsidRPr="002F3761">
        <w:rPr>
          <w:rFonts w:cs="Times New Roman"/>
          <w:szCs w:val="24"/>
        </w:rPr>
        <w:t>ezek a</w:t>
      </w:r>
      <w:r w:rsidR="002F5B3F" w:rsidRPr="002F3761">
        <w:rPr>
          <w:rFonts w:cs="Times New Roman"/>
          <w:szCs w:val="24"/>
        </w:rPr>
        <w:t xml:space="preserve"> kezelés</w:t>
      </w:r>
      <w:r w:rsidR="00384F9F" w:rsidRPr="002F3761">
        <w:rPr>
          <w:rFonts w:cs="Times New Roman"/>
          <w:szCs w:val="24"/>
        </w:rPr>
        <w:t>ek</w:t>
      </w:r>
      <w:r w:rsidR="002F5B3F" w:rsidRPr="002F3761">
        <w:rPr>
          <w:rFonts w:cs="Times New Roman"/>
          <w:szCs w:val="24"/>
        </w:rPr>
        <w:t xml:space="preserve"> kevésbé korlátozó alternatív</w:t>
      </w:r>
      <w:r w:rsidR="00384F9F" w:rsidRPr="002F3761">
        <w:rPr>
          <w:rFonts w:cs="Times New Roman"/>
          <w:szCs w:val="24"/>
        </w:rPr>
        <w:t>ák</w:t>
      </w:r>
      <w:r w:rsidR="002F5B3F" w:rsidRPr="002F3761">
        <w:rPr>
          <w:rFonts w:cs="Times New Roman"/>
          <w:szCs w:val="24"/>
        </w:rPr>
        <w:t xml:space="preserve"> a nem-önkéntes intéze</w:t>
      </w:r>
      <w:r w:rsidR="005976EA" w:rsidRPr="002F3761">
        <w:rPr>
          <w:rFonts w:cs="Times New Roman"/>
          <w:szCs w:val="24"/>
        </w:rPr>
        <w:t>ti kezeléshez képest.</w:t>
      </w:r>
    </w:p>
    <w:p w14:paraId="5FDF5F79" w14:textId="77777777" w:rsidR="00604F9B" w:rsidRPr="002F3761" w:rsidRDefault="00604F9B" w:rsidP="002F3761">
      <w:pPr>
        <w:rPr>
          <w:rFonts w:cs="Times New Roman"/>
          <w:szCs w:val="24"/>
        </w:rPr>
      </w:pPr>
    </w:p>
    <w:p w14:paraId="175E8CCF" w14:textId="77777777" w:rsidR="00604F9B" w:rsidRPr="002F3761" w:rsidRDefault="00F72C69" w:rsidP="002F3761">
      <w:pPr>
        <w:rPr>
          <w:rFonts w:cs="Times New Roman"/>
          <w:szCs w:val="24"/>
        </w:rPr>
      </w:pPr>
      <w:r w:rsidRPr="002F3761">
        <w:rPr>
          <w:rFonts w:cs="Times New Roman"/>
          <w:szCs w:val="24"/>
        </w:rPr>
        <w:t xml:space="preserve">A PACE a „súlyos érzelmi rendellenességből” </w:t>
      </w:r>
      <w:r w:rsidR="00AE597C" w:rsidRPr="002F3761">
        <w:rPr>
          <w:rFonts w:cs="Times New Roman"/>
          <w:szCs w:val="24"/>
        </w:rPr>
        <w:t xml:space="preserve">felépült személyek </w:t>
      </w:r>
      <w:r w:rsidRPr="002F3761">
        <w:rPr>
          <w:rFonts w:cs="Times New Roman"/>
          <w:szCs w:val="24"/>
        </w:rPr>
        <w:t>tapasztalat</w:t>
      </w:r>
      <w:r w:rsidR="00AE597C" w:rsidRPr="002F3761">
        <w:rPr>
          <w:rFonts w:cs="Times New Roman"/>
          <w:szCs w:val="24"/>
        </w:rPr>
        <w:t>aiból indul ki, amely szerint az önrendelkezés és az önkéntes programokon való részvétel kardinális feltételei a felépülésnek. A Nemzeti Felelősségteremtés Központ kutatásai igazolták, hogy a felépülés a bizalmi és a felelősségteremtésre irányuló kapcsolatokon keresztül történik. A kutatások rámutattak, hogy a felépülés legfontosabb tényezője az, hogy legyen valaki, aki támogat, hisz a személyben, megérti őt, és akiben az érintett személy is bízhat.</w:t>
      </w:r>
      <w:r w:rsidR="00AE597C" w:rsidRPr="002F3761">
        <w:rPr>
          <w:rStyle w:val="Lbjegyzet-hivatkozs"/>
          <w:rFonts w:cs="Times New Roman"/>
          <w:szCs w:val="24"/>
        </w:rPr>
        <w:footnoteReference w:id="164"/>
      </w:r>
    </w:p>
    <w:p w14:paraId="214CB199" w14:textId="77777777" w:rsidR="000320F3" w:rsidRPr="002F3761" w:rsidRDefault="000320F3" w:rsidP="002F3761">
      <w:pPr>
        <w:rPr>
          <w:rFonts w:cs="Times New Roman"/>
          <w:szCs w:val="24"/>
        </w:rPr>
      </w:pPr>
    </w:p>
    <w:p w14:paraId="1646109A" w14:textId="77777777" w:rsidR="000320F3" w:rsidRPr="002F3761" w:rsidRDefault="00E62C8E" w:rsidP="002F3761">
      <w:pPr>
        <w:rPr>
          <w:rFonts w:cs="Times New Roman"/>
          <w:szCs w:val="24"/>
        </w:rPr>
      </w:pPr>
      <w:r w:rsidRPr="002F3761">
        <w:rPr>
          <w:rFonts w:cs="Times New Roman"/>
          <w:szCs w:val="24"/>
        </w:rPr>
        <w:t xml:space="preserve">A PACE megközelítésében az elsődleges támogató a személyi segítő, ezért rendkívül fontos, hogy milyen emberek látják el ezt a feladatot. Sok esetben azokból a személyekből lesznek a legjobb személyi segítők, akik felépültek, mert ők már </w:t>
      </w:r>
      <w:r w:rsidR="00264317" w:rsidRPr="002F3761">
        <w:rPr>
          <w:rFonts w:cs="Times New Roman"/>
          <w:szCs w:val="24"/>
        </w:rPr>
        <w:t>végig</w:t>
      </w:r>
      <w:r w:rsidRPr="002F3761">
        <w:rPr>
          <w:rFonts w:cs="Times New Roman"/>
          <w:szCs w:val="24"/>
        </w:rPr>
        <w:t>járták</w:t>
      </w:r>
      <w:r w:rsidR="00264317" w:rsidRPr="002F3761">
        <w:rPr>
          <w:rFonts w:cs="Times New Roman"/>
          <w:szCs w:val="24"/>
        </w:rPr>
        <w:t xml:space="preserve"> azt az utat, amelyen az érintett személy halad. A személyi segítők olyan emberek, akik nem félnek szoros kapcsolatba kerülni az érintett személlyel, a „fogyasztóval”, és képesek arra, hogy támogassák </w:t>
      </w:r>
      <w:r w:rsidR="00264317" w:rsidRPr="002F3761">
        <w:rPr>
          <w:rFonts w:cs="Times New Roman"/>
          <w:szCs w:val="24"/>
        </w:rPr>
        <w:lastRenderedPageBreak/>
        <w:t>a fogyasztót, hogy a saját szocio-kulturális közegükben értelmezhessék a</w:t>
      </w:r>
      <w:r w:rsidR="00EE0204">
        <w:rPr>
          <w:rFonts w:cs="Times New Roman"/>
          <w:szCs w:val="24"/>
        </w:rPr>
        <w:t xml:space="preserve">z úgynevezett </w:t>
      </w:r>
      <w:r w:rsidR="00264317" w:rsidRPr="002F3761">
        <w:rPr>
          <w:rFonts w:cs="Times New Roman"/>
          <w:szCs w:val="24"/>
        </w:rPr>
        <w:t>problémákat.</w:t>
      </w:r>
      <w:r w:rsidR="00264317" w:rsidRPr="002F3761">
        <w:rPr>
          <w:rStyle w:val="Lbjegyzet-hivatkozs"/>
          <w:rFonts w:cs="Times New Roman"/>
          <w:szCs w:val="24"/>
        </w:rPr>
        <w:footnoteReference w:id="165"/>
      </w:r>
    </w:p>
    <w:p w14:paraId="18F7AB81" w14:textId="77777777" w:rsidR="000320F3" w:rsidRPr="002F3761" w:rsidRDefault="000320F3" w:rsidP="002F3761">
      <w:pPr>
        <w:rPr>
          <w:rFonts w:cs="Times New Roman"/>
          <w:szCs w:val="24"/>
        </w:rPr>
      </w:pPr>
    </w:p>
    <w:p w14:paraId="707B393F" w14:textId="77777777" w:rsidR="0055412E" w:rsidRPr="002F3761" w:rsidRDefault="0055412E" w:rsidP="002F3761">
      <w:pPr>
        <w:rPr>
          <w:rFonts w:cs="Times New Roman"/>
          <w:szCs w:val="24"/>
        </w:rPr>
      </w:pPr>
      <w:r w:rsidRPr="002F3761">
        <w:rPr>
          <w:rFonts w:cs="Times New Roman"/>
          <w:szCs w:val="24"/>
        </w:rPr>
        <w:t xml:space="preserve">A Nemzeti Felelősségteremtés Központ kiadott egy kézikönyvet is a PACE-val kapcsolatosan, melyet minden </w:t>
      </w:r>
      <w:r w:rsidR="00EE0204">
        <w:rPr>
          <w:rFonts w:cs="Times New Roman"/>
          <w:szCs w:val="24"/>
        </w:rPr>
        <w:t>olyan személy számára ajánl, aki</w:t>
      </w:r>
      <w:r w:rsidRPr="002F3761">
        <w:rPr>
          <w:rFonts w:cs="Times New Roman"/>
          <w:szCs w:val="24"/>
        </w:rPr>
        <w:t xml:space="preserve"> a mentális betegségekkel összefüggésben valamilyen formán érintett, így </w:t>
      </w:r>
      <w:r w:rsidR="00EE0204">
        <w:rPr>
          <w:rFonts w:cs="Times New Roman"/>
          <w:szCs w:val="24"/>
        </w:rPr>
        <w:t xml:space="preserve">sikerrel forgathatják </w:t>
      </w:r>
      <w:r w:rsidRPr="002F3761">
        <w:rPr>
          <w:rFonts w:cs="Times New Roman"/>
          <w:szCs w:val="24"/>
        </w:rPr>
        <w:t>a már felépült személyek, a felépülésben lévők, tanárok, trénerek, és nem utolsó sorban</w:t>
      </w:r>
      <w:r w:rsidR="00EE0204">
        <w:rPr>
          <w:rFonts w:cs="Times New Roman"/>
          <w:szCs w:val="24"/>
        </w:rPr>
        <w:t xml:space="preserve"> a családtagok</w:t>
      </w:r>
      <w:r w:rsidRPr="002F3761">
        <w:rPr>
          <w:rFonts w:cs="Times New Roman"/>
          <w:szCs w:val="24"/>
        </w:rPr>
        <w:t>.</w:t>
      </w:r>
      <w:r w:rsidRPr="002F3761">
        <w:rPr>
          <w:rStyle w:val="Lbjegyzet-hivatkozs"/>
          <w:rFonts w:cs="Times New Roman"/>
          <w:szCs w:val="24"/>
        </w:rPr>
        <w:footnoteReference w:id="166"/>
      </w:r>
    </w:p>
    <w:p w14:paraId="4250075E" w14:textId="77777777" w:rsidR="00CF346F" w:rsidRPr="002F3761" w:rsidRDefault="00CF346F" w:rsidP="002F3761">
      <w:pPr>
        <w:rPr>
          <w:rFonts w:cs="Times New Roman"/>
          <w:szCs w:val="24"/>
        </w:rPr>
      </w:pPr>
    </w:p>
    <w:p w14:paraId="5AA7CDCE" w14:textId="7843DC77" w:rsidR="00A40168" w:rsidRDefault="00CF346F" w:rsidP="002F3761">
      <w:pPr>
        <w:rPr>
          <w:rFonts w:cs="Times New Roman"/>
          <w:szCs w:val="24"/>
        </w:rPr>
      </w:pPr>
      <w:r w:rsidRPr="002F3761">
        <w:rPr>
          <w:rFonts w:cs="Times New Roman"/>
          <w:szCs w:val="24"/>
        </w:rPr>
        <w:t>További jó példa lehet a személyi segítés körében a támogatott döntéshozatal elvein alapuló Finnországból eredő</w:t>
      </w:r>
      <w:r w:rsidR="002F0EFC">
        <w:rPr>
          <w:rFonts w:cs="Times New Roman"/>
          <w:szCs w:val="24"/>
        </w:rPr>
        <w:t xml:space="preserve"> </w:t>
      </w:r>
      <w:r w:rsidR="002F0EFC" w:rsidRPr="002F0EFC">
        <w:rPr>
          <w:rFonts w:cs="Times New Roman"/>
          <w:i/>
          <w:szCs w:val="24"/>
        </w:rPr>
        <w:t>Személyes Ombudsman</w:t>
      </w:r>
      <w:r w:rsidRPr="002F3761">
        <w:rPr>
          <w:rFonts w:cs="Times New Roman"/>
          <w:szCs w:val="24"/>
        </w:rPr>
        <w:t xml:space="preserve"> </w:t>
      </w:r>
      <w:r w:rsidR="002F0EFC" w:rsidRPr="002F0EFC">
        <w:rPr>
          <w:rFonts w:cs="Times New Roman"/>
          <w:szCs w:val="24"/>
        </w:rPr>
        <w:t>(</w:t>
      </w:r>
      <w:r w:rsidRPr="002F0EFC">
        <w:rPr>
          <w:rFonts w:cs="Times New Roman"/>
          <w:szCs w:val="24"/>
        </w:rPr>
        <w:t>Personal Ombudsman</w:t>
      </w:r>
      <w:r w:rsidR="002F0EFC">
        <w:rPr>
          <w:rFonts w:cs="Times New Roman"/>
          <w:szCs w:val="24"/>
        </w:rPr>
        <w:t xml:space="preserve"> - PO) </w:t>
      </w:r>
      <w:r w:rsidRPr="002F3761">
        <w:rPr>
          <w:rFonts w:cs="Times New Roman"/>
          <w:szCs w:val="24"/>
        </w:rPr>
        <w:t>rendszer.</w:t>
      </w:r>
      <w:r w:rsidR="002F0EFC">
        <w:rPr>
          <w:rFonts w:cs="Times New Roman"/>
          <w:szCs w:val="24"/>
        </w:rPr>
        <w:t xml:space="preserve"> </w:t>
      </w:r>
      <w:r w:rsidR="00A63D4F">
        <w:rPr>
          <w:rFonts w:cs="Times New Roman"/>
          <w:szCs w:val="24"/>
        </w:rPr>
        <w:t xml:space="preserve">A </w:t>
      </w:r>
      <w:r w:rsidR="002F0EFC">
        <w:rPr>
          <w:rFonts w:cs="Times New Roman"/>
          <w:szCs w:val="24"/>
        </w:rPr>
        <w:t>PO rendszer</w:t>
      </w:r>
      <w:r w:rsidR="00A63D4F">
        <w:rPr>
          <w:rFonts w:cs="Times New Roman"/>
          <w:szCs w:val="24"/>
        </w:rPr>
        <w:t xml:space="preserve"> a támogatott döntéshozatal egyik modellje, mely minden hatóságtól függetlenül működik. Svédországban több független civil szervezet is nyújt ilyen szolgáltatást. A PO egy olyan különleges szakértelemmel rendelkező személy, aki a szolgáltatást kérő személy megbízásából jár el. A PO nagyon széles körben nyújt segítséget a kliense számára, a családi ügyektől kezdve a lakhatásig, a szolgáltatásokhoz való hozzáférésig vagy a munkaviszonyig. Ez a modell elképzelhetetlen a PO és kliense közötti bizalmi viszony</w:t>
      </w:r>
      <w:r w:rsidR="002F0EFC">
        <w:rPr>
          <w:rFonts w:cs="Times New Roman"/>
          <w:szCs w:val="24"/>
        </w:rPr>
        <w:t xml:space="preserve"> és mindkettejük részéről történő hosszú távú elkötelez</w:t>
      </w:r>
      <w:r w:rsidR="00B62591">
        <w:rPr>
          <w:rFonts w:cs="Times New Roman"/>
          <w:szCs w:val="24"/>
        </w:rPr>
        <w:t>ődés</w:t>
      </w:r>
      <w:r w:rsidR="002F0EFC">
        <w:rPr>
          <w:rFonts w:cs="Times New Roman"/>
          <w:szCs w:val="24"/>
        </w:rPr>
        <w:t xml:space="preserve"> nélkül. A PO modell célja elsősorban olyan emberek megközelítése, akik nehezen elérhetőek, izoláltan vagy támogatások nélkül élnek.</w:t>
      </w:r>
      <w:r w:rsidR="002F0EFC">
        <w:rPr>
          <w:rStyle w:val="Lbjegyzet-hivatkozs"/>
          <w:rFonts w:cs="Times New Roman"/>
          <w:szCs w:val="24"/>
        </w:rPr>
        <w:footnoteReference w:id="167"/>
      </w:r>
    </w:p>
    <w:p w14:paraId="4C8112EC" w14:textId="77777777" w:rsidR="000B427C" w:rsidRDefault="000B427C" w:rsidP="002F3761">
      <w:pPr>
        <w:rPr>
          <w:rFonts w:cs="Times New Roman"/>
          <w:b/>
          <w:szCs w:val="24"/>
        </w:rPr>
      </w:pPr>
    </w:p>
    <w:p w14:paraId="728F356B" w14:textId="5EF7075A" w:rsidR="00A40168" w:rsidRPr="000B427C" w:rsidRDefault="00196112" w:rsidP="000B427C">
      <w:pPr>
        <w:pStyle w:val="Cmsor2"/>
        <w:rPr>
          <w:rFonts w:ascii="Times New Roman" w:hAnsi="Times New Roman" w:cs="Times New Roman"/>
          <w:color w:val="auto"/>
        </w:rPr>
      </w:pPr>
      <w:bookmarkStart w:id="25" w:name="_Toc451515115"/>
      <w:r w:rsidRPr="000B427C">
        <w:rPr>
          <w:rFonts w:ascii="Times New Roman" w:hAnsi="Times New Roman" w:cs="Times New Roman"/>
          <w:color w:val="auto"/>
        </w:rPr>
        <w:t>5.5. Összegzés</w:t>
      </w:r>
      <w:bookmarkEnd w:id="25"/>
    </w:p>
    <w:p w14:paraId="1045C082" w14:textId="77777777" w:rsidR="00196112" w:rsidRPr="002F3761" w:rsidRDefault="00196112" w:rsidP="002F3761">
      <w:pPr>
        <w:rPr>
          <w:rFonts w:cs="Times New Roman"/>
          <w:szCs w:val="24"/>
        </w:rPr>
      </w:pPr>
    </w:p>
    <w:p w14:paraId="5E82E8CE" w14:textId="77777777" w:rsidR="001023CD" w:rsidRPr="002F3761" w:rsidRDefault="00EE0204" w:rsidP="002F3761">
      <w:pPr>
        <w:rPr>
          <w:rFonts w:cs="Times New Roman"/>
          <w:szCs w:val="24"/>
        </w:rPr>
      </w:pPr>
      <w:r w:rsidRPr="00EE0204">
        <w:rPr>
          <w:rFonts w:cs="Times New Roman"/>
          <w:i/>
          <w:szCs w:val="24"/>
        </w:rPr>
        <w:t>Összefoglalásul rá kell mutatni, hogy a</w:t>
      </w:r>
      <w:r w:rsidR="001023CD" w:rsidRPr="00EE0204">
        <w:rPr>
          <w:rFonts w:cs="Times New Roman"/>
          <w:i/>
          <w:szCs w:val="24"/>
        </w:rPr>
        <w:t>z itt bemutatott alternatívák, jó gyakorlatok</w:t>
      </w:r>
      <w:r w:rsidR="003B477F" w:rsidRPr="00EE0204">
        <w:rPr>
          <w:rFonts w:cs="Times New Roman"/>
          <w:i/>
          <w:szCs w:val="24"/>
        </w:rPr>
        <w:t xml:space="preserve"> mellett</w:t>
      </w:r>
      <w:r w:rsidR="001023CD" w:rsidRPr="00EE0204">
        <w:rPr>
          <w:rFonts w:cs="Times New Roman"/>
          <w:i/>
          <w:szCs w:val="24"/>
        </w:rPr>
        <w:t xml:space="preserve"> </w:t>
      </w:r>
      <w:r w:rsidR="003B477F" w:rsidRPr="00EE0204">
        <w:rPr>
          <w:rFonts w:cs="Times New Roman"/>
          <w:i/>
          <w:szCs w:val="24"/>
        </w:rPr>
        <w:t>természetesen más olyan megoldások is ismertek, amelyek összhangban vannak a CRPD rendelkezéseivel, valamint az emberi jogi paradigma tételeivel.</w:t>
      </w:r>
      <w:r w:rsidR="003B477F" w:rsidRPr="002F3761">
        <w:rPr>
          <w:rFonts w:cs="Times New Roman"/>
          <w:szCs w:val="24"/>
        </w:rPr>
        <w:t xml:space="preserve"> Ilyenek lehetnek – továbbra is – a teljesség igénye nélkül az alábbiak:</w:t>
      </w:r>
    </w:p>
    <w:p w14:paraId="5F2A0B63" w14:textId="77777777" w:rsidR="008F1B3A" w:rsidRPr="002F3761" w:rsidRDefault="003B477F" w:rsidP="002F3761">
      <w:pPr>
        <w:pStyle w:val="Listaszerbekezds"/>
        <w:numPr>
          <w:ilvl w:val="0"/>
          <w:numId w:val="28"/>
        </w:numPr>
        <w:rPr>
          <w:rFonts w:cs="Times New Roman"/>
          <w:szCs w:val="24"/>
        </w:rPr>
      </w:pPr>
      <w:r w:rsidRPr="002F3761">
        <w:rPr>
          <w:rFonts w:cs="Times New Roman"/>
          <w:szCs w:val="24"/>
        </w:rPr>
        <w:t>Alternatív elvek szerint működő krízis házakkal kapcsolatosan – ahol egyáltalán nem, vagy csak kis mértékben használnak gyógyszereket és ebben az esetben is csak az érintett személy</w:t>
      </w:r>
      <w:r w:rsidR="008F1B3A" w:rsidRPr="002F3761">
        <w:rPr>
          <w:rFonts w:cs="Times New Roman"/>
          <w:szCs w:val="24"/>
        </w:rPr>
        <w:t xml:space="preserve"> </w:t>
      </w:r>
      <w:r w:rsidRPr="002F3761">
        <w:rPr>
          <w:rFonts w:cs="Times New Roman"/>
          <w:szCs w:val="24"/>
        </w:rPr>
        <w:t xml:space="preserve">tájékoztatáson alapuló beleegyezésével – </w:t>
      </w:r>
      <w:r w:rsidR="008F1B3A" w:rsidRPr="002F3761">
        <w:rPr>
          <w:rFonts w:cs="Times New Roman"/>
          <w:szCs w:val="24"/>
        </w:rPr>
        <w:t>bizonyítást nyert, hogy ezek legalább annyira hatékonyak, mint a kórházi osztályokon történő kezelések és a betegek nagyobb része jelezte elégedettségét.</w:t>
      </w:r>
      <w:r w:rsidR="008F1B3A" w:rsidRPr="002F3761">
        <w:rPr>
          <w:rStyle w:val="Lbjegyzet-hivatkozs"/>
          <w:rFonts w:cs="Times New Roman"/>
          <w:szCs w:val="24"/>
        </w:rPr>
        <w:footnoteReference w:id="168"/>
      </w:r>
    </w:p>
    <w:p w14:paraId="6B03CC06" w14:textId="77777777" w:rsidR="00A07C92" w:rsidRPr="002F3761" w:rsidRDefault="00A07C92" w:rsidP="002F3761">
      <w:pPr>
        <w:pStyle w:val="Listaszerbekezds"/>
        <w:numPr>
          <w:ilvl w:val="0"/>
          <w:numId w:val="28"/>
        </w:numPr>
        <w:rPr>
          <w:rFonts w:cs="Times New Roman"/>
          <w:szCs w:val="24"/>
        </w:rPr>
      </w:pPr>
      <w:r w:rsidRPr="002F3761">
        <w:rPr>
          <w:rFonts w:cs="Times New Roman"/>
          <w:szCs w:val="24"/>
        </w:rPr>
        <w:t>Oktatáson keresztül magvalósuló társadalmi befogadás.</w:t>
      </w:r>
      <w:r w:rsidRPr="002F3761">
        <w:rPr>
          <w:rStyle w:val="Lbjegyzet-hivatkozs"/>
          <w:rFonts w:cs="Times New Roman"/>
          <w:szCs w:val="24"/>
        </w:rPr>
        <w:footnoteReference w:id="169"/>
      </w:r>
    </w:p>
    <w:p w14:paraId="0BB6F413" w14:textId="77777777" w:rsidR="00041DDC" w:rsidRDefault="00041DDC" w:rsidP="002F3761">
      <w:pPr>
        <w:pStyle w:val="Listaszerbekezds"/>
        <w:numPr>
          <w:ilvl w:val="0"/>
          <w:numId w:val="28"/>
        </w:numPr>
        <w:rPr>
          <w:rFonts w:cs="Times New Roman"/>
          <w:szCs w:val="24"/>
        </w:rPr>
      </w:pPr>
      <w:r w:rsidRPr="002F3761">
        <w:rPr>
          <w:rFonts w:cs="Times New Roman"/>
          <w:szCs w:val="24"/>
        </w:rPr>
        <w:t>Munkához jutáson alapuló társadalmi befogadás.</w:t>
      </w:r>
      <w:r w:rsidRPr="002F3761">
        <w:rPr>
          <w:rStyle w:val="Lbjegyzet-hivatkozs"/>
          <w:rFonts w:cs="Times New Roman"/>
          <w:szCs w:val="24"/>
        </w:rPr>
        <w:footnoteReference w:id="170"/>
      </w:r>
    </w:p>
    <w:p w14:paraId="50DE9EA8" w14:textId="77777777" w:rsidR="00091119" w:rsidRPr="00091119" w:rsidRDefault="00091119" w:rsidP="00091119">
      <w:pPr>
        <w:rPr>
          <w:rFonts w:cs="Times New Roman"/>
          <w:szCs w:val="24"/>
        </w:rPr>
      </w:pPr>
    </w:p>
    <w:p w14:paraId="237300CA" w14:textId="564CC83B" w:rsidR="007705D6" w:rsidRPr="000B427C" w:rsidRDefault="00804684" w:rsidP="000B427C">
      <w:pPr>
        <w:pStyle w:val="Cmsor1"/>
        <w:rPr>
          <w:rFonts w:ascii="Times New Roman" w:hAnsi="Times New Roman" w:cs="Times New Roman"/>
          <w:color w:val="auto"/>
        </w:rPr>
      </w:pPr>
      <w:bookmarkStart w:id="26" w:name="_Toc451515116"/>
      <w:r w:rsidRPr="000B427C">
        <w:rPr>
          <w:rFonts w:ascii="Times New Roman" w:hAnsi="Times New Roman" w:cs="Times New Roman"/>
          <w:color w:val="auto"/>
        </w:rPr>
        <w:t>6</w:t>
      </w:r>
      <w:r w:rsidR="00D05B58" w:rsidRPr="000B427C">
        <w:rPr>
          <w:rFonts w:ascii="Times New Roman" w:hAnsi="Times New Roman" w:cs="Times New Roman"/>
          <w:color w:val="auto"/>
        </w:rPr>
        <w:t xml:space="preserve">. </w:t>
      </w:r>
      <w:r w:rsidR="000D5AB9" w:rsidRPr="000B427C">
        <w:rPr>
          <w:rFonts w:ascii="Times New Roman" w:hAnsi="Times New Roman" w:cs="Times New Roman"/>
          <w:color w:val="auto"/>
        </w:rPr>
        <w:t>Konklúzió</w:t>
      </w:r>
      <w:bookmarkEnd w:id="26"/>
    </w:p>
    <w:p w14:paraId="0DF1FF3B" w14:textId="77777777" w:rsidR="007C408B" w:rsidRPr="002F3761" w:rsidRDefault="007C408B" w:rsidP="002F3761">
      <w:pPr>
        <w:rPr>
          <w:rFonts w:cs="Times New Roman"/>
          <w:szCs w:val="24"/>
        </w:rPr>
      </w:pPr>
    </w:p>
    <w:p w14:paraId="17D9369B" w14:textId="77777777" w:rsidR="001136E6" w:rsidRPr="002F3761" w:rsidRDefault="001136E6" w:rsidP="002F3761">
      <w:pPr>
        <w:rPr>
          <w:rFonts w:cs="Times New Roman"/>
          <w:szCs w:val="24"/>
        </w:rPr>
      </w:pPr>
      <w:r w:rsidRPr="002F3761">
        <w:rPr>
          <w:rFonts w:cs="Times New Roman"/>
          <w:szCs w:val="24"/>
        </w:rPr>
        <w:t xml:space="preserve">A nem-önkéntes pszichiátriai elhelyezés és a nem-önkéntes kezelés emberi jogi paradigma alapjain történő vizsgálata során alapvetően </w:t>
      </w:r>
      <w:r w:rsidR="004A6EEA" w:rsidRPr="002F3761">
        <w:rPr>
          <w:rFonts w:cs="Times New Roman"/>
          <w:szCs w:val="24"/>
        </w:rPr>
        <w:t>három</w:t>
      </w:r>
      <w:r w:rsidRPr="002F3761">
        <w:rPr>
          <w:rFonts w:cs="Times New Roman"/>
          <w:szCs w:val="24"/>
        </w:rPr>
        <w:t xml:space="preserve"> lényegi megállapítást tettünk:</w:t>
      </w:r>
    </w:p>
    <w:p w14:paraId="03108652" w14:textId="77777777" w:rsidR="001136E6" w:rsidRPr="002F3761" w:rsidRDefault="001136E6" w:rsidP="002F3761">
      <w:pPr>
        <w:rPr>
          <w:rFonts w:cs="Times New Roman"/>
          <w:szCs w:val="24"/>
        </w:rPr>
      </w:pPr>
    </w:p>
    <w:p w14:paraId="2BFD9922" w14:textId="77777777" w:rsidR="001136E6" w:rsidRPr="002F3761" w:rsidRDefault="001136E6" w:rsidP="002F3761">
      <w:pPr>
        <w:pStyle w:val="Listaszerbekezds"/>
        <w:numPr>
          <w:ilvl w:val="0"/>
          <w:numId w:val="32"/>
        </w:numPr>
        <w:rPr>
          <w:rFonts w:cs="Times New Roman"/>
          <w:szCs w:val="24"/>
        </w:rPr>
      </w:pPr>
      <w:r w:rsidRPr="002F3761">
        <w:rPr>
          <w:rFonts w:cs="Times New Roman"/>
          <w:szCs w:val="24"/>
        </w:rPr>
        <w:t>valamely valós vagy vélt károsodáson/fogyatékosságon alapuló nem-önkéntes intézeti elhelyezésre és nem-önkéntes kezelésre irányuló jogi szabályozás, a diszkriminatív természete miatt nem elfogadható;</w:t>
      </w:r>
    </w:p>
    <w:p w14:paraId="3AE880AD" w14:textId="77777777" w:rsidR="001136E6" w:rsidRPr="002F3761" w:rsidRDefault="001136E6" w:rsidP="002F3761">
      <w:pPr>
        <w:pStyle w:val="Listaszerbekezds"/>
        <w:numPr>
          <w:ilvl w:val="0"/>
          <w:numId w:val="32"/>
        </w:numPr>
        <w:rPr>
          <w:rFonts w:cs="Times New Roman"/>
          <w:szCs w:val="24"/>
        </w:rPr>
      </w:pPr>
      <w:r w:rsidRPr="002F3761">
        <w:rPr>
          <w:rFonts w:cs="Times New Roman"/>
          <w:szCs w:val="24"/>
        </w:rPr>
        <w:t>a szabadságkorlátozások jogi alapját úgy kell meghatározni, hogy az ne tartalmazzon sem közvetlenül, sem közvetetten a károsodásra/fogyatékosságra utaló kitételt, és ezáltal minden személyre azonos alapon vonatkozzon;</w:t>
      </w:r>
    </w:p>
    <w:p w14:paraId="049D36BB" w14:textId="77777777" w:rsidR="001136E6" w:rsidRPr="002F3761" w:rsidRDefault="001136E6" w:rsidP="002F3761">
      <w:pPr>
        <w:pStyle w:val="Listaszerbekezds"/>
        <w:numPr>
          <w:ilvl w:val="0"/>
          <w:numId w:val="32"/>
        </w:numPr>
        <w:rPr>
          <w:rFonts w:cs="Times New Roman"/>
          <w:szCs w:val="24"/>
        </w:rPr>
      </w:pPr>
      <w:r w:rsidRPr="002F3761">
        <w:rPr>
          <w:rFonts w:cs="Times New Roman"/>
          <w:szCs w:val="24"/>
        </w:rPr>
        <w:t xml:space="preserve">olyan alternatív megoldásokat kell kidolgozni, felkutatni, hozzáférhetővé tenni, és a </w:t>
      </w:r>
      <w:r w:rsidR="004A6EEA" w:rsidRPr="002F3761">
        <w:rPr>
          <w:rFonts w:cs="Times New Roman"/>
          <w:szCs w:val="24"/>
        </w:rPr>
        <w:t xml:space="preserve">kulturális, társadalmi és egyéb tényezőket figyelembe véve átültetni, </w:t>
      </w:r>
      <w:r w:rsidRPr="002F3761">
        <w:rPr>
          <w:rFonts w:cs="Times New Roman"/>
          <w:szCs w:val="24"/>
        </w:rPr>
        <w:t>melyek az emberi jogi paradigma</w:t>
      </w:r>
      <w:r w:rsidR="004A6EEA" w:rsidRPr="002F3761">
        <w:rPr>
          <w:rFonts w:cs="Times New Roman"/>
          <w:szCs w:val="24"/>
        </w:rPr>
        <w:t xml:space="preserve"> tételeire épülnek</w:t>
      </w:r>
      <w:r w:rsidRPr="002F3761">
        <w:rPr>
          <w:rFonts w:cs="Times New Roman"/>
          <w:szCs w:val="24"/>
        </w:rPr>
        <w:t xml:space="preserve">. </w:t>
      </w:r>
    </w:p>
    <w:p w14:paraId="1E495B28" w14:textId="77777777" w:rsidR="0092589D" w:rsidRPr="002F3761" w:rsidRDefault="0092589D" w:rsidP="002F3761">
      <w:pPr>
        <w:rPr>
          <w:rFonts w:cs="Times New Roman"/>
          <w:szCs w:val="24"/>
        </w:rPr>
      </w:pPr>
    </w:p>
    <w:p w14:paraId="7F3AE259" w14:textId="77777777" w:rsidR="00784B11" w:rsidRPr="002F3761" w:rsidRDefault="004A6EEA" w:rsidP="002F3761">
      <w:pPr>
        <w:contextualSpacing/>
        <w:rPr>
          <w:rFonts w:cs="Times New Roman"/>
          <w:szCs w:val="24"/>
        </w:rPr>
      </w:pPr>
      <w:r w:rsidRPr="002F3761">
        <w:rPr>
          <w:rFonts w:cs="Times New Roman"/>
          <w:szCs w:val="24"/>
        </w:rPr>
        <w:t xml:space="preserve">Az itt említett alternatívák átültethetőségével, </w:t>
      </w:r>
      <w:r w:rsidR="00784B11" w:rsidRPr="002F3761">
        <w:rPr>
          <w:rFonts w:cs="Times New Roman"/>
          <w:szCs w:val="24"/>
        </w:rPr>
        <w:t>alkalmazhatóságával kapcsolatosan a következők</w:t>
      </w:r>
      <w:r w:rsidRPr="002F3761">
        <w:rPr>
          <w:rFonts w:cs="Times New Roman"/>
          <w:szCs w:val="24"/>
        </w:rPr>
        <w:t xml:space="preserve"> figyelembe vétele releváns:</w:t>
      </w:r>
    </w:p>
    <w:p w14:paraId="110A61DA" w14:textId="77777777" w:rsidR="00A471CC" w:rsidRPr="002F3761" w:rsidRDefault="00A471CC" w:rsidP="002F3761">
      <w:pPr>
        <w:pStyle w:val="Listaszerbekezds"/>
        <w:numPr>
          <w:ilvl w:val="0"/>
          <w:numId w:val="33"/>
        </w:numPr>
        <w:rPr>
          <w:rFonts w:cs="Times New Roman"/>
          <w:szCs w:val="24"/>
        </w:rPr>
      </w:pPr>
      <w:r w:rsidRPr="002F3761">
        <w:rPr>
          <w:rFonts w:cs="Times New Roman"/>
          <w:szCs w:val="24"/>
        </w:rPr>
        <w:t>az alternatívák nem épülhetnek helyettes döntéshozatali struktúrákra;</w:t>
      </w:r>
    </w:p>
    <w:p w14:paraId="5658A2DD" w14:textId="77777777" w:rsidR="00A471CC" w:rsidRDefault="00A471CC" w:rsidP="002F3761">
      <w:pPr>
        <w:pStyle w:val="Listaszerbekezds"/>
        <w:numPr>
          <w:ilvl w:val="0"/>
          <w:numId w:val="33"/>
        </w:numPr>
        <w:rPr>
          <w:rFonts w:cs="Times New Roman"/>
          <w:szCs w:val="24"/>
        </w:rPr>
      </w:pPr>
      <w:r w:rsidRPr="002F3761">
        <w:rPr>
          <w:rFonts w:cs="Times New Roman"/>
          <w:szCs w:val="24"/>
        </w:rPr>
        <w:t>az alternatívák nem épülhetnek „kevésbé korlátozó nem-önkéntes” modellekre;</w:t>
      </w:r>
    </w:p>
    <w:p w14:paraId="216CDABE" w14:textId="77777777" w:rsidR="00EE0204" w:rsidRPr="002F3761" w:rsidRDefault="00EE0204" w:rsidP="002F3761">
      <w:pPr>
        <w:pStyle w:val="Listaszerbekezds"/>
        <w:numPr>
          <w:ilvl w:val="0"/>
          <w:numId w:val="33"/>
        </w:numPr>
        <w:rPr>
          <w:rFonts w:cs="Times New Roman"/>
          <w:szCs w:val="24"/>
        </w:rPr>
      </w:pPr>
      <w:r>
        <w:rPr>
          <w:rFonts w:cs="Times New Roman"/>
          <w:szCs w:val="24"/>
        </w:rPr>
        <w:t>az alternatívák kerüljék az orvosi diagnózisok felállítását;</w:t>
      </w:r>
    </w:p>
    <w:p w14:paraId="6810786C" w14:textId="77777777" w:rsidR="00A471CC" w:rsidRPr="002F3761" w:rsidRDefault="00E2686C" w:rsidP="002F3761">
      <w:pPr>
        <w:pStyle w:val="Listaszerbekezds"/>
        <w:numPr>
          <w:ilvl w:val="0"/>
          <w:numId w:val="33"/>
        </w:numPr>
        <w:rPr>
          <w:rFonts w:cs="Times New Roman"/>
          <w:szCs w:val="24"/>
        </w:rPr>
      </w:pPr>
      <w:r w:rsidRPr="002F3761">
        <w:rPr>
          <w:rFonts w:cs="Times New Roman"/>
          <w:szCs w:val="24"/>
        </w:rPr>
        <w:t>az alternatívák elő kell,</w:t>
      </w:r>
      <w:r w:rsidR="00A471CC" w:rsidRPr="002F3761">
        <w:rPr>
          <w:rFonts w:cs="Times New Roman"/>
          <w:szCs w:val="24"/>
        </w:rPr>
        <w:t xml:space="preserve"> hogy segítsék az önrendelkezést, a cselekvőképesség </w:t>
      </w:r>
      <w:r w:rsidRPr="002F3761">
        <w:rPr>
          <w:rFonts w:cs="Times New Roman"/>
          <w:szCs w:val="24"/>
        </w:rPr>
        <w:t xml:space="preserve">(támogatásokon alapuló) </w:t>
      </w:r>
      <w:r w:rsidR="00A471CC" w:rsidRPr="002F3761">
        <w:rPr>
          <w:rFonts w:cs="Times New Roman"/>
          <w:szCs w:val="24"/>
        </w:rPr>
        <w:t xml:space="preserve">gyakorlását, a </w:t>
      </w:r>
      <w:r w:rsidRPr="002F3761">
        <w:rPr>
          <w:rFonts w:cs="Times New Roman"/>
          <w:szCs w:val="24"/>
        </w:rPr>
        <w:t xml:space="preserve">kölcsönös </w:t>
      </w:r>
      <w:r w:rsidR="00A471CC" w:rsidRPr="002F3761">
        <w:rPr>
          <w:rFonts w:cs="Times New Roman"/>
          <w:szCs w:val="24"/>
        </w:rPr>
        <w:t xml:space="preserve">bizalmat, a </w:t>
      </w:r>
      <w:r w:rsidRPr="002F3761">
        <w:rPr>
          <w:rFonts w:cs="Times New Roman"/>
          <w:szCs w:val="24"/>
        </w:rPr>
        <w:t xml:space="preserve">kölcsönös </w:t>
      </w:r>
      <w:r w:rsidR="00A471CC" w:rsidRPr="002F3761">
        <w:rPr>
          <w:rFonts w:cs="Times New Roman"/>
          <w:szCs w:val="24"/>
        </w:rPr>
        <w:t>tiszteletet, a kényszermentességet, a felépülést;</w:t>
      </w:r>
    </w:p>
    <w:p w14:paraId="5AE8B96C" w14:textId="77777777" w:rsidR="00A471CC" w:rsidRPr="002F3761" w:rsidRDefault="00A471CC" w:rsidP="002F3761">
      <w:pPr>
        <w:pStyle w:val="Listaszerbekezds"/>
        <w:numPr>
          <w:ilvl w:val="0"/>
          <w:numId w:val="33"/>
        </w:numPr>
        <w:rPr>
          <w:rFonts w:cs="Times New Roman"/>
          <w:szCs w:val="24"/>
        </w:rPr>
      </w:pPr>
      <w:r w:rsidRPr="002F3761">
        <w:rPr>
          <w:rFonts w:cs="Times New Roman"/>
          <w:szCs w:val="24"/>
        </w:rPr>
        <w:t>az alternatíváknak az érintett személyek élettörténetén, saját tapasztalatain és öndefiníciójukon kell alapulniuk</w:t>
      </w:r>
      <w:r w:rsidR="00E2686C" w:rsidRPr="002F3761">
        <w:rPr>
          <w:rFonts w:cs="Times New Roman"/>
          <w:szCs w:val="24"/>
        </w:rPr>
        <w:t>;</w:t>
      </w:r>
    </w:p>
    <w:p w14:paraId="2D1E5D8B" w14:textId="77777777" w:rsidR="00E2686C" w:rsidRPr="002F3761" w:rsidRDefault="00E2686C" w:rsidP="002F3761">
      <w:pPr>
        <w:pStyle w:val="Listaszerbekezds"/>
        <w:numPr>
          <w:ilvl w:val="0"/>
          <w:numId w:val="33"/>
        </w:numPr>
        <w:rPr>
          <w:rFonts w:cs="Times New Roman"/>
          <w:szCs w:val="24"/>
        </w:rPr>
      </w:pPr>
      <w:r w:rsidRPr="002F3761">
        <w:rPr>
          <w:rFonts w:cs="Times New Roman"/>
          <w:szCs w:val="24"/>
        </w:rPr>
        <w:t>az alternatívák kidolgozásába, működtetésébe és ellenőrzésébe be kell vonni az érintett személyeket;</w:t>
      </w:r>
    </w:p>
    <w:p w14:paraId="00F77A43" w14:textId="0A5DA090" w:rsidR="00E2686C" w:rsidRPr="002F3761" w:rsidRDefault="00E2686C" w:rsidP="002F3761">
      <w:pPr>
        <w:pStyle w:val="Listaszerbekezds"/>
        <w:numPr>
          <w:ilvl w:val="0"/>
          <w:numId w:val="33"/>
        </w:numPr>
        <w:rPr>
          <w:rFonts w:cs="Times New Roman"/>
          <w:szCs w:val="24"/>
        </w:rPr>
      </w:pPr>
      <w:r w:rsidRPr="002F3761">
        <w:rPr>
          <w:rFonts w:cs="Times New Roman"/>
          <w:szCs w:val="24"/>
        </w:rPr>
        <w:t>az alternatíváknak elő kel</w:t>
      </w:r>
      <w:r w:rsidR="00750F30">
        <w:rPr>
          <w:rFonts w:cs="Times New Roman"/>
          <w:szCs w:val="24"/>
        </w:rPr>
        <w:t>l</w:t>
      </w:r>
      <w:r w:rsidRPr="002F3761">
        <w:rPr>
          <w:rFonts w:cs="Times New Roman"/>
          <w:szCs w:val="24"/>
        </w:rPr>
        <w:t xml:space="preserve"> segíteniük a stigmatizáció elkerülését, megszüntetését és a társadalmi befogadást;</w:t>
      </w:r>
    </w:p>
    <w:p w14:paraId="311A0ADF" w14:textId="77777777" w:rsidR="00E2686C" w:rsidRDefault="00E2686C" w:rsidP="002F3761">
      <w:pPr>
        <w:pStyle w:val="Listaszerbekezds"/>
        <w:numPr>
          <w:ilvl w:val="0"/>
          <w:numId w:val="33"/>
        </w:numPr>
        <w:rPr>
          <w:rFonts w:cs="Times New Roman"/>
          <w:szCs w:val="24"/>
        </w:rPr>
      </w:pPr>
      <w:r w:rsidRPr="002F3761">
        <w:rPr>
          <w:rFonts w:cs="Times New Roman"/>
          <w:szCs w:val="24"/>
        </w:rPr>
        <w:t>az alternatíváknak ingyenesnek vagy megfizethetőnek kell lenniük mindazok számára, akik ezeket igénybe kívánják venni.</w:t>
      </w:r>
    </w:p>
    <w:sectPr w:rsidR="00E2686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E921B" w14:textId="77777777" w:rsidR="008F43F4" w:rsidRDefault="008F43F4" w:rsidP="007451C4">
      <w:r>
        <w:separator/>
      </w:r>
    </w:p>
  </w:endnote>
  <w:endnote w:type="continuationSeparator" w:id="0">
    <w:p w14:paraId="20C6C857" w14:textId="77777777" w:rsidR="008F43F4" w:rsidRDefault="008F43F4" w:rsidP="0074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19506"/>
      <w:docPartObj>
        <w:docPartGallery w:val="Page Numbers (Bottom of Page)"/>
        <w:docPartUnique/>
      </w:docPartObj>
    </w:sdtPr>
    <w:sdtContent>
      <w:p w14:paraId="1E22EBF2" w14:textId="77777777" w:rsidR="002D0384" w:rsidRDefault="002D0384">
        <w:pPr>
          <w:pStyle w:val="llb"/>
          <w:jc w:val="right"/>
        </w:pPr>
        <w:r>
          <w:fldChar w:fldCharType="begin"/>
        </w:r>
        <w:r>
          <w:instrText>PAGE   \* MERGEFORMAT</w:instrText>
        </w:r>
        <w:r>
          <w:fldChar w:fldCharType="separate"/>
        </w:r>
        <w:r w:rsidR="002A3BF0">
          <w:rPr>
            <w:noProof/>
          </w:rPr>
          <w:t>1</w:t>
        </w:r>
        <w:r>
          <w:fldChar w:fldCharType="end"/>
        </w:r>
      </w:p>
    </w:sdtContent>
  </w:sdt>
  <w:p w14:paraId="3CC25724" w14:textId="77777777" w:rsidR="002D0384" w:rsidRDefault="002D03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3569F" w14:textId="77777777" w:rsidR="008F43F4" w:rsidRDefault="008F43F4" w:rsidP="007451C4">
      <w:r>
        <w:separator/>
      </w:r>
    </w:p>
  </w:footnote>
  <w:footnote w:type="continuationSeparator" w:id="0">
    <w:p w14:paraId="4FF72577" w14:textId="77777777" w:rsidR="008F43F4" w:rsidRDefault="008F43F4" w:rsidP="007451C4">
      <w:r>
        <w:continuationSeparator/>
      </w:r>
    </w:p>
  </w:footnote>
  <w:footnote w:id="1">
    <w:p w14:paraId="46E9EA1F" w14:textId="733914D3" w:rsidR="002D0384" w:rsidRDefault="002D0384">
      <w:pPr>
        <w:pStyle w:val="Lbjegyzetszveg"/>
      </w:pPr>
      <w:r>
        <w:rPr>
          <w:rStyle w:val="Lbjegyzet-hivatkozs"/>
        </w:rPr>
        <w:footnoteRef/>
      </w:r>
      <w:r>
        <w:t xml:space="preserve"> </w:t>
      </w:r>
      <w:r w:rsidRPr="0083181F">
        <w:t xml:space="preserve">WHO </w:t>
      </w:r>
      <w:proofErr w:type="spellStart"/>
      <w:r w:rsidRPr="0083181F">
        <w:t>Regional</w:t>
      </w:r>
      <w:proofErr w:type="spellEnd"/>
      <w:r w:rsidRPr="0083181F">
        <w:t xml:space="preserve"> </w:t>
      </w:r>
      <w:proofErr w:type="spellStart"/>
      <w:r w:rsidRPr="0083181F">
        <w:t>Committee</w:t>
      </w:r>
      <w:proofErr w:type="spellEnd"/>
      <w:r w:rsidRPr="0083181F">
        <w:t xml:space="preserve"> </w:t>
      </w:r>
      <w:proofErr w:type="spellStart"/>
      <w:r w:rsidRPr="0083181F">
        <w:t>for</w:t>
      </w:r>
      <w:proofErr w:type="spellEnd"/>
      <w:r w:rsidRPr="0083181F">
        <w:t xml:space="preserve"> Europe: </w:t>
      </w:r>
      <w:proofErr w:type="spellStart"/>
      <w:r w:rsidRPr="0083181F">
        <w:rPr>
          <w:i/>
        </w:rPr>
        <w:t>Fact</w:t>
      </w:r>
      <w:proofErr w:type="spellEnd"/>
      <w:r w:rsidRPr="0083181F">
        <w:rPr>
          <w:i/>
        </w:rPr>
        <w:t xml:space="preserve"> </w:t>
      </w:r>
      <w:proofErr w:type="spellStart"/>
      <w:r w:rsidRPr="0083181F">
        <w:rPr>
          <w:i/>
        </w:rPr>
        <w:t>sheet</w:t>
      </w:r>
      <w:proofErr w:type="spellEnd"/>
      <w:r w:rsidRPr="0083181F">
        <w:rPr>
          <w:i/>
        </w:rPr>
        <w:t xml:space="preserve"> – </w:t>
      </w:r>
      <w:proofErr w:type="spellStart"/>
      <w:r w:rsidRPr="0083181F">
        <w:rPr>
          <w:i/>
        </w:rPr>
        <w:t>Mental</w:t>
      </w:r>
      <w:proofErr w:type="spellEnd"/>
      <w:r w:rsidRPr="0083181F">
        <w:rPr>
          <w:i/>
        </w:rPr>
        <w:t xml:space="preserve"> </w:t>
      </w:r>
      <w:proofErr w:type="spellStart"/>
      <w:r w:rsidRPr="0083181F">
        <w:rPr>
          <w:i/>
        </w:rPr>
        <w:t>health</w:t>
      </w:r>
      <w:proofErr w:type="spellEnd"/>
      <w:r w:rsidRPr="0083181F">
        <w:t>. 2013.</w:t>
      </w:r>
    </w:p>
  </w:footnote>
  <w:footnote w:id="2">
    <w:p w14:paraId="76041A93" w14:textId="089EBFE0" w:rsidR="002D0384" w:rsidRDefault="002D0384">
      <w:pPr>
        <w:pStyle w:val="Lbjegyzetszveg"/>
      </w:pPr>
      <w:r>
        <w:rPr>
          <w:rStyle w:val="Lbjegyzet-hivatkozs"/>
        </w:rPr>
        <w:footnoteRef/>
      </w:r>
      <w:r>
        <w:t xml:space="preserve"> </w:t>
      </w:r>
      <w:r w:rsidRPr="00F9500B">
        <w:t>WITTCHEN</w:t>
      </w:r>
      <w:r>
        <w:t xml:space="preserve"> H</w:t>
      </w:r>
      <w:proofErr w:type="gramStart"/>
      <w:r>
        <w:t>.U.</w:t>
      </w:r>
      <w:proofErr w:type="gramEnd"/>
      <w:r>
        <w:t xml:space="preserve"> et </w:t>
      </w:r>
      <w:proofErr w:type="spellStart"/>
      <w:r>
        <w:t>al</w:t>
      </w:r>
      <w:proofErr w:type="spellEnd"/>
      <w:proofErr w:type="gramStart"/>
      <w:r>
        <w:t>.:</w:t>
      </w:r>
      <w:proofErr w:type="gramEnd"/>
      <w:r w:rsidRPr="00F9500B">
        <w:rPr>
          <w:sz w:val="24"/>
          <w:szCs w:val="22"/>
        </w:rPr>
        <w:t xml:space="preserve"> </w:t>
      </w:r>
      <w:r w:rsidRPr="00F9500B">
        <w:t xml:space="preserve">The </w:t>
      </w:r>
      <w:proofErr w:type="spellStart"/>
      <w:r w:rsidRPr="00F9500B">
        <w:t>size</w:t>
      </w:r>
      <w:proofErr w:type="spellEnd"/>
      <w:r w:rsidRPr="00F9500B">
        <w:t xml:space="preserve"> and </w:t>
      </w:r>
      <w:proofErr w:type="spellStart"/>
      <w:r w:rsidRPr="00F9500B">
        <w:t>burden</w:t>
      </w:r>
      <w:proofErr w:type="spellEnd"/>
      <w:r w:rsidRPr="00F9500B">
        <w:t xml:space="preserve"> of </w:t>
      </w:r>
      <w:proofErr w:type="spellStart"/>
      <w:r w:rsidRPr="00F9500B">
        <w:t>mental</w:t>
      </w:r>
      <w:proofErr w:type="spellEnd"/>
      <w:r w:rsidRPr="00F9500B">
        <w:t xml:space="preserve"> </w:t>
      </w:r>
      <w:proofErr w:type="spellStart"/>
      <w:r w:rsidRPr="00F9500B">
        <w:t>disorders</w:t>
      </w:r>
      <w:proofErr w:type="spellEnd"/>
      <w:r w:rsidRPr="00F9500B">
        <w:t xml:space="preserve"> and </w:t>
      </w:r>
      <w:proofErr w:type="spellStart"/>
      <w:r w:rsidRPr="00F9500B">
        <w:t>other</w:t>
      </w:r>
      <w:proofErr w:type="spellEnd"/>
      <w:r w:rsidRPr="00F9500B">
        <w:t xml:space="preserve"> </w:t>
      </w:r>
      <w:proofErr w:type="spellStart"/>
      <w:r w:rsidRPr="00F9500B">
        <w:t>disorders</w:t>
      </w:r>
      <w:proofErr w:type="spellEnd"/>
      <w:r w:rsidRPr="00F9500B">
        <w:t xml:space="preserve"> of </w:t>
      </w:r>
      <w:proofErr w:type="spellStart"/>
      <w:r w:rsidRPr="00F9500B">
        <w:t>the</w:t>
      </w:r>
      <w:proofErr w:type="spellEnd"/>
      <w:r w:rsidRPr="00F9500B">
        <w:t xml:space="preserve"> </w:t>
      </w:r>
      <w:proofErr w:type="spellStart"/>
      <w:r w:rsidRPr="00F9500B">
        <w:t>brain</w:t>
      </w:r>
      <w:proofErr w:type="spellEnd"/>
      <w:r w:rsidRPr="00F9500B">
        <w:t xml:space="preserve"> </w:t>
      </w:r>
      <w:proofErr w:type="spellStart"/>
      <w:r w:rsidRPr="00F9500B">
        <w:t>in</w:t>
      </w:r>
      <w:proofErr w:type="spellEnd"/>
      <w:r w:rsidRPr="00F9500B">
        <w:t xml:space="preserve"> Europe 2010</w:t>
      </w:r>
      <w:r>
        <w:t xml:space="preserve">. </w:t>
      </w:r>
      <w:r w:rsidRPr="00F9500B">
        <w:rPr>
          <w:i/>
        </w:rPr>
        <w:t xml:space="preserve">European </w:t>
      </w:r>
      <w:proofErr w:type="spellStart"/>
      <w:r w:rsidRPr="00F9500B">
        <w:rPr>
          <w:i/>
        </w:rPr>
        <w:t>Neuropsychopharmacology</w:t>
      </w:r>
      <w:proofErr w:type="spellEnd"/>
      <w:r w:rsidRPr="00F9500B">
        <w:t xml:space="preserve">, </w:t>
      </w:r>
      <w:proofErr w:type="spellStart"/>
      <w:r>
        <w:t>Vol</w:t>
      </w:r>
      <w:proofErr w:type="spellEnd"/>
      <w:r>
        <w:t xml:space="preserve"> </w:t>
      </w:r>
      <w:r w:rsidRPr="00F9500B">
        <w:t xml:space="preserve">21, </w:t>
      </w:r>
      <w:r>
        <w:t xml:space="preserve">2011. </w:t>
      </w:r>
      <w:r w:rsidRPr="00F9500B">
        <w:t>655–679</w:t>
      </w:r>
      <w:r>
        <w:t>. A kutatók szerint az arány ennél is magasabb, hiszen az eseteknek megközelítőleg csak az egyharmadában fordulnak orvoshoz az emberek.</w:t>
      </w:r>
    </w:p>
  </w:footnote>
  <w:footnote w:id="3">
    <w:p w14:paraId="5EDE2D94" w14:textId="41866A2B"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r>
        <w:rPr>
          <w:rFonts w:cs="Times New Roman"/>
        </w:rPr>
        <w:t>„</w:t>
      </w:r>
      <w:proofErr w:type="spellStart"/>
      <w:r>
        <w:rPr>
          <w:rFonts w:cs="Times New Roman"/>
        </w:rPr>
        <w:t>Mental</w:t>
      </w:r>
      <w:proofErr w:type="spellEnd"/>
      <w:r>
        <w:rPr>
          <w:rFonts w:cs="Times New Roman"/>
        </w:rPr>
        <w:t xml:space="preserve"> </w:t>
      </w:r>
      <w:proofErr w:type="spellStart"/>
      <w:r>
        <w:rPr>
          <w:rFonts w:cs="Times New Roman"/>
        </w:rPr>
        <w:t>disorders</w:t>
      </w:r>
      <w:proofErr w:type="spellEnd"/>
      <w:r>
        <w:rPr>
          <w:rFonts w:cs="Times New Roman"/>
        </w:rPr>
        <w:t xml:space="preserve">”. A </w:t>
      </w:r>
      <w:r w:rsidRPr="000D5AB9">
        <w:rPr>
          <w:rFonts w:cs="Times New Roman"/>
        </w:rPr>
        <w:t xml:space="preserve">WHO </w:t>
      </w:r>
      <w:proofErr w:type="spellStart"/>
      <w:r w:rsidRPr="000D5AB9">
        <w:rPr>
          <w:rFonts w:cs="Times New Roman"/>
        </w:rPr>
        <w:t>Regional</w:t>
      </w:r>
      <w:proofErr w:type="spellEnd"/>
      <w:r w:rsidRPr="000D5AB9">
        <w:rPr>
          <w:rFonts w:cs="Times New Roman"/>
        </w:rPr>
        <w:t xml:space="preserve"> </w:t>
      </w:r>
      <w:proofErr w:type="spellStart"/>
      <w:r w:rsidRPr="000D5AB9">
        <w:rPr>
          <w:rFonts w:cs="Times New Roman"/>
        </w:rPr>
        <w:t>Committee</w:t>
      </w:r>
      <w:proofErr w:type="spellEnd"/>
      <w:r w:rsidRPr="000D5AB9">
        <w:rPr>
          <w:rFonts w:cs="Times New Roman"/>
        </w:rPr>
        <w:t xml:space="preserve"> </w:t>
      </w:r>
      <w:proofErr w:type="spellStart"/>
      <w:r w:rsidRPr="000D5AB9">
        <w:rPr>
          <w:rFonts w:cs="Times New Roman"/>
        </w:rPr>
        <w:t>for</w:t>
      </w:r>
      <w:proofErr w:type="spellEnd"/>
      <w:r w:rsidRPr="000D5AB9">
        <w:rPr>
          <w:rFonts w:cs="Times New Roman"/>
        </w:rPr>
        <w:t xml:space="preserve"> Europe: </w:t>
      </w:r>
      <w:r w:rsidRPr="000D5AB9">
        <w:rPr>
          <w:rFonts w:cs="Times New Roman"/>
          <w:i/>
        </w:rPr>
        <w:t xml:space="preserve">Fact sheet – </w:t>
      </w:r>
      <w:proofErr w:type="spellStart"/>
      <w:r w:rsidRPr="000D5AB9">
        <w:rPr>
          <w:rFonts w:cs="Times New Roman"/>
          <w:i/>
        </w:rPr>
        <w:t>Mental</w:t>
      </w:r>
      <w:proofErr w:type="spellEnd"/>
      <w:r w:rsidRPr="000D5AB9">
        <w:rPr>
          <w:rFonts w:cs="Times New Roman"/>
          <w:i/>
        </w:rPr>
        <w:t xml:space="preserve"> </w:t>
      </w:r>
      <w:proofErr w:type="spellStart"/>
      <w:r w:rsidRPr="000D5AB9">
        <w:rPr>
          <w:rFonts w:cs="Times New Roman"/>
          <w:i/>
        </w:rPr>
        <w:t>health</w:t>
      </w:r>
      <w:proofErr w:type="spellEnd"/>
      <w:r>
        <w:rPr>
          <w:rFonts w:cs="Times New Roman"/>
        </w:rPr>
        <w:t xml:space="preserve"> (2013)</w:t>
      </w:r>
      <w:r w:rsidRPr="00333ABF">
        <w:t xml:space="preserve"> </w:t>
      </w:r>
      <w:r w:rsidRPr="00333ABF">
        <w:rPr>
          <w:rFonts w:cs="Times New Roman"/>
        </w:rPr>
        <w:t>dokumentum a mentális rendellenességeket akként definiálja, hogy ezek közé a különböző tünetekkel jellemezhető problémák széles köre tartozik, azonban általánosságban elmondható róluk, hogy a zavart gondolatok, érzelmek, magatartás és a másokkal való zavart kapcsolatok kombinációja jellemzi. Példaként említi a dokumentum a depressziót, a szorongást, a gyermekkori magatartászavart, a bipoláris rendellenességeket és a skizofréniát. A WHO dokumentum hozzáteszi a definícióhoz, hogy e rendellenességek közül sokat sikeresen lehet kezelni.</w:t>
      </w:r>
    </w:p>
  </w:footnote>
  <w:footnote w:id="4">
    <w:p w14:paraId="0C877C08"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E tanulmány nem fókuszál a büntető jog keretei között történő kényszergyógykezelés és ideiglenes kényszergyógykezelés kérdésére.</w:t>
      </w:r>
    </w:p>
  </w:footnote>
  <w:footnote w:id="5">
    <w:p w14:paraId="44ADFCA6"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European Union </w:t>
      </w:r>
      <w:proofErr w:type="spellStart"/>
      <w:r w:rsidRPr="000D5AB9">
        <w:rPr>
          <w:rFonts w:cs="Times New Roman"/>
        </w:rPr>
        <w:t>Agency</w:t>
      </w:r>
      <w:proofErr w:type="spellEnd"/>
      <w:r w:rsidRPr="000D5AB9">
        <w:rPr>
          <w:rFonts w:cs="Times New Roman"/>
        </w:rPr>
        <w:t xml:space="preserve"> </w:t>
      </w:r>
      <w:proofErr w:type="spellStart"/>
      <w:r w:rsidRPr="000D5AB9">
        <w:rPr>
          <w:rFonts w:cs="Times New Roman"/>
        </w:rPr>
        <w:t>for</w:t>
      </w:r>
      <w:proofErr w:type="spellEnd"/>
      <w:r w:rsidRPr="000D5AB9">
        <w:rPr>
          <w:rFonts w:cs="Times New Roman"/>
        </w:rPr>
        <w:t xml:space="preserve"> </w:t>
      </w:r>
      <w:proofErr w:type="spellStart"/>
      <w:r w:rsidRPr="000D5AB9">
        <w:rPr>
          <w:rFonts w:cs="Times New Roman"/>
        </w:rPr>
        <w:t>Fundamental</w:t>
      </w:r>
      <w:proofErr w:type="spellEnd"/>
      <w:r w:rsidRPr="000D5AB9">
        <w:rPr>
          <w:rFonts w:cs="Times New Roman"/>
        </w:rPr>
        <w:t xml:space="preserve"> </w:t>
      </w:r>
      <w:proofErr w:type="spellStart"/>
      <w:r w:rsidRPr="000D5AB9">
        <w:rPr>
          <w:rFonts w:cs="Times New Roman"/>
        </w:rPr>
        <w:t>Rights</w:t>
      </w:r>
      <w:proofErr w:type="spellEnd"/>
      <w:r w:rsidRPr="000D5AB9">
        <w:rPr>
          <w:rFonts w:cs="Times New Roman"/>
        </w:rPr>
        <w:t xml:space="preserve"> (FRA): </w:t>
      </w:r>
      <w:proofErr w:type="spellStart"/>
      <w:r w:rsidRPr="000D5AB9">
        <w:rPr>
          <w:rFonts w:cs="Times New Roman"/>
          <w:i/>
        </w:rPr>
        <w:t>Involuntary</w:t>
      </w:r>
      <w:proofErr w:type="spellEnd"/>
      <w:r w:rsidRPr="000D5AB9">
        <w:rPr>
          <w:rFonts w:cs="Times New Roman"/>
          <w:i/>
        </w:rPr>
        <w:t xml:space="preserve"> </w:t>
      </w:r>
      <w:proofErr w:type="spellStart"/>
      <w:r w:rsidRPr="000D5AB9">
        <w:rPr>
          <w:rFonts w:cs="Times New Roman"/>
          <w:i/>
        </w:rPr>
        <w:t>placement</w:t>
      </w:r>
      <w:proofErr w:type="spellEnd"/>
      <w:r w:rsidRPr="000D5AB9">
        <w:rPr>
          <w:rFonts w:cs="Times New Roman"/>
          <w:i/>
        </w:rPr>
        <w:t xml:space="preserve"> and </w:t>
      </w:r>
      <w:proofErr w:type="spellStart"/>
      <w:r w:rsidRPr="000D5AB9">
        <w:rPr>
          <w:rFonts w:cs="Times New Roman"/>
          <w:i/>
        </w:rPr>
        <w:t>involuntary</w:t>
      </w:r>
      <w:proofErr w:type="spellEnd"/>
      <w:r w:rsidRPr="000D5AB9">
        <w:rPr>
          <w:rFonts w:cs="Times New Roman"/>
          <w:i/>
        </w:rPr>
        <w:t xml:space="preserve"> </w:t>
      </w:r>
      <w:proofErr w:type="spellStart"/>
      <w:r w:rsidRPr="000D5AB9">
        <w:rPr>
          <w:rFonts w:cs="Times New Roman"/>
          <w:i/>
        </w:rPr>
        <w:t>treatment</w:t>
      </w:r>
      <w:proofErr w:type="spellEnd"/>
      <w:r w:rsidRPr="000D5AB9">
        <w:rPr>
          <w:rFonts w:cs="Times New Roman"/>
          <w:i/>
        </w:rPr>
        <w:t xml:space="preserve"> of </w:t>
      </w:r>
      <w:proofErr w:type="spellStart"/>
      <w:r w:rsidRPr="000D5AB9">
        <w:rPr>
          <w:rFonts w:cs="Times New Roman"/>
          <w:i/>
        </w:rPr>
        <w:t>persons</w:t>
      </w:r>
      <w:proofErr w:type="spellEnd"/>
      <w:r w:rsidRPr="000D5AB9">
        <w:rPr>
          <w:rFonts w:cs="Times New Roman"/>
          <w:i/>
        </w:rPr>
        <w:t xml:space="preserve"> </w:t>
      </w:r>
      <w:proofErr w:type="spellStart"/>
      <w:r w:rsidRPr="000D5AB9">
        <w:rPr>
          <w:rFonts w:cs="Times New Roman"/>
          <w:i/>
        </w:rPr>
        <w:t>with</w:t>
      </w:r>
      <w:proofErr w:type="spellEnd"/>
      <w:r w:rsidRPr="000D5AB9">
        <w:rPr>
          <w:rFonts w:cs="Times New Roman"/>
          <w:i/>
        </w:rPr>
        <w:t xml:space="preserve"> </w:t>
      </w:r>
      <w:proofErr w:type="spellStart"/>
      <w:r w:rsidRPr="000D5AB9">
        <w:rPr>
          <w:rFonts w:cs="Times New Roman"/>
          <w:i/>
        </w:rPr>
        <w:t>mental</w:t>
      </w:r>
      <w:proofErr w:type="spellEnd"/>
      <w:r w:rsidRPr="000D5AB9">
        <w:rPr>
          <w:rFonts w:cs="Times New Roman"/>
          <w:i/>
        </w:rPr>
        <w:t xml:space="preserve"> </w:t>
      </w:r>
      <w:proofErr w:type="spellStart"/>
      <w:r w:rsidRPr="000D5AB9">
        <w:rPr>
          <w:rFonts w:cs="Times New Roman"/>
          <w:i/>
        </w:rPr>
        <w:t>health</w:t>
      </w:r>
      <w:proofErr w:type="spellEnd"/>
      <w:r w:rsidRPr="000D5AB9">
        <w:rPr>
          <w:rFonts w:cs="Times New Roman"/>
          <w:i/>
        </w:rPr>
        <w:t xml:space="preserve"> </w:t>
      </w:r>
      <w:proofErr w:type="spellStart"/>
      <w:r w:rsidRPr="000D5AB9">
        <w:rPr>
          <w:rFonts w:cs="Times New Roman"/>
          <w:i/>
        </w:rPr>
        <w:t>problems</w:t>
      </w:r>
      <w:proofErr w:type="spellEnd"/>
      <w:r w:rsidRPr="000D5AB9">
        <w:rPr>
          <w:rFonts w:cs="Times New Roman"/>
        </w:rPr>
        <w:t xml:space="preserve">, Luxembourg, </w:t>
      </w:r>
      <w:proofErr w:type="spellStart"/>
      <w:r w:rsidRPr="000D5AB9">
        <w:rPr>
          <w:rFonts w:cs="Times New Roman"/>
        </w:rPr>
        <w:t>Publications</w:t>
      </w:r>
      <w:proofErr w:type="spellEnd"/>
      <w:r w:rsidRPr="000D5AB9">
        <w:rPr>
          <w:rFonts w:cs="Times New Roman"/>
        </w:rPr>
        <w:t xml:space="preserve"> Office of </w:t>
      </w:r>
      <w:proofErr w:type="spellStart"/>
      <w:r w:rsidRPr="000D5AB9">
        <w:rPr>
          <w:rFonts w:cs="Times New Roman"/>
        </w:rPr>
        <w:t>the</w:t>
      </w:r>
      <w:proofErr w:type="spellEnd"/>
      <w:r w:rsidRPr="000D5AB9">
        <w:rPr>
          <w:rFonts w:cs="Times New Roman"/>
        </w:rPr>
        <w:t xml:space="preserve"> European Union, 2012. 9. [a továbiakban: FRA (2012)].</w:t>
      </w:r>
    </w:p>
  </w:footnote>
  <w:footnote w:id="6">
    <w:p w14:paraId="61C2398E"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Az </w:t>
      </w:r>
      <w:proofErr w:type="spellStart"/>
      <w:r w:rsidRPr="000D5AB9">
        <w:rPr>
          <w:rFonts w:cs="Times New Roman"/>
        </w:rPr>
        <w:t>Eütv</w:t>
      </w:r>
      <w:proofErr w:type="spellEnd"/>
      <w:r w:rsidRPr="000D5AB9">
        <w:rPr>
          <w:rFonts w:cs="Times New Roman"/>
        </w:rPr>
        <w:t>. elérni kívánt célja az, hogy az a cselekvőképtelen beteg, aki önkéntes gyógykezelését kéri, a gondnok – mint törvényes képviselő – jognyilatkozata alapján tartózkodhasson a pszichiátriai intézetben.</w:t>
      </w:r>
    </w:p>
  </w:footnote>
  <w:footnote w:id="7">
    <w:p w14:paraId="7326E0D6"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Vö.: Eütv. 196, § a) pont, 197. § (2) bekezdés, 16. § (1)-(2) bekezdés.</w:t>
      </w:r>
    </w:p>
  </w:footnote>
  <w:footnote w:id="8">
    <w:p w14:paraId="358C734B"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196. § b) pont, 199. § (1) bekezdés.</w:t>
      </w:r>
    </w:p>
  </w:footnote>
  <w:footnote w:id="9">
    <w:p w14:paraId="3130F490" w14:textId="6E31A8E2" w:rsidR="002D0384" w:rsidRDefault="002D0384">
      <w:pPr>
        <w:pStyle w:val="Lbjegyzetszveg"/>
      </w:pPr>
      <w:r>
        <w:rPr>
          <w:rStyle w:val="Lbjegyzet-hivatkozs"/>
        </w:rPr>
        <w:footnoteRef/>
      </w:r>
      <w:r>
        <w:t xml:space="preserve"> Uo. 199. § (1) bekezdés.</w:t>
      </w:r>
    </w:p>
  </w:footnote>
  <w:footnote w:id="10">
    <w:p w14:paraId="682FE055"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188. § c) pont.</w:t>
      </w:r>
    </w:p>
  </w:footnote>
  <w:footnote w:id="11">
    <w:p w14:paraId="27E96AB8" w14:textId="5D843419" w:rsidR="002D0384" w:rsidRDefault="002D0384">
      <w:pPr>
        <w:pStyle w:val="Lbjegyzetszveg"/>
      </w:pPr>
      <w:r>
        <w:rPr>
          <w:rStyle w:val="Lbjegyzet-hivatkozs"/>
        </w:rPr>
        <w:footnoteRef/>
      </w:r>
      <w:r>
        <w:t xml:space="preserve"> Uo. 199. § (2) bekezdés.</w:t>
      </w:r>
    </w:p>
  </w:footnote>
  <w:footnote w:id="12">
    <w:p w14:paraId="4AD4380B" w14:textId="1782B510" w:rsidR="002D0384" w:rsidRDefault="002D0384">
      <w:pPr>
        <w:pStyle w:val="Lbjegyzetszveg"/>
      </w:pPr>
      <w:r>
        <w:rPr>
          <w:rStyle w:val="Lbjegyzet-hivatkozs"/>
        </w:rPr>
        <w:footnoteRef/>
      </w:r>
      <w:r>
        <w:t xml:space="preserve"> Uo. 199. § (3) bekezdés.</w:t>
      </w:r>
    </w:p>
  </w:footnote>
  <w:footnote w:id="13">
    <w:p w14:paraId="0FBDFFCA"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196. § b) pont, 199. § (1) bekezdés.</w:t>
      </w:r>
    </w:p>
  </w:footnote>
  <w:footnote w:id="14">
    <w:p w14:paraId="3BB1281D" w14:textId="09799DBE"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r>
        <w:rPr>
          <w:rFonts w:cs="Times New Roman"/>
        </w:rPr>
        <w:t>Vö.:</w:t>
      </w:r>
      <w:r w:rsidRPr="000D5AB9">
        <w:rPr>
          <w:rFonts w:cs="Times New Roman"/>
        </w:rPr>
        <w:t xml:space="preserve"> 200 (1) bekezdés.</w:t>
      </w:r>
    </w:p>
  </w:footnote>
  <w:footnote w:id="15">
    <w:p w14:paraId="165CB5BB"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Eütv. 188. § b) pont.</w:t>
      </w:r>
    </w:p>
  </w:footnote>
  <w:footnote w:id="16">
    <w:p w14:paraId="03612BDB" w14:textId="5B847F05" w:rsidR="002D0384" w:rsidRDefault="002D0384">
      <w:pPr>
        <w:pStyle w:val="Lbjegyzetszveg"/>
      </w:pPr>
      <w:r>
        <w:rPr>
          <w:rStyle w:val="Lbjegyzet-hivatkozs"/>
        </w:rPr>
        <w:footnoteRef/>
      </w:r>
      <w:r>
        <w:t xml:space="preserve"> Uo. 200.§ (9).</w:t>
      </w:r>
    </w:p>
  </w:footnote>
  <w:footnote w:id="17">
    <w:p w14:paraId="357D2145" w14:textId="30A15C4C" w:rsidR="002D0384" w:rsidRDefault="002D0384">
      <w:pPr>
        <w:pStyle w:val="Lbjegyzetszveg"/>
      </w:pPr>
      <w:r>
        <w:rPr>
          <w:rStyle w:val="Lbjegyzet-hivatkozs"/>
        </w:rPr>
        <w:footnoteRef/>
      </w:r>
      <w:r>
        <w:t xml:space="preserve"> Vö. </w:t>
      </w:r>
      <w:proofErr w:type="spellStart"/>
      <w:r>
        <w:t>Eütv</w:t>
      </w:r>
      <w:proofErr w:type="spellEnd"/>
      <w:r>
        <w:t>. 200. § (8) bekezdéssel és a 198. § (1) bekezdéssel.</w:t>
      </w:r>
    </w:p>
  </w:footnote>
  <w:footnote w:id="18">
    <w:p w14:paraId="544E4857" w14:textId="7348324D" w:rsidR="002D0384" w:rsidRDefault="002D0384">
      <w:pPr>
        <w:pStyle w:val="Lbjegyzetszveg"/>
      </w:pPr>
      <w:r>
        <w:rPr>
          <w:rStyle w:val="Lbjegyzet-hivatkozs"/>
        </w:rPr>
        <w:footnoteRef/>
      </w:r>
      <w:r>
        <w:t xml:space="preserve"> </w:t>
      </w:r>
      <w:proofErr w:type="spellStart"/>
      <w:r>
        <w:t>Eütv</w:t>
      </w:r>
      <w:proofErr w:type="spellEnd"/>
      <w:r>
        <w:t>. 195. § (1) bekezdés.</w:t>
      </w:r>
    </w:p>
  </w:footnote>
  <w:footnote w:id="19">
    <w:p w14:paraId="56A83CA5" w14:textId="5356789C" w:rsidR="002D0384" w:rsidRPr="008F6EDC" w:rsidRDefault="002D0384" w:rsidP="00E868A2">
      <w:pPr>
        <w:pStyle w:val="Lbjegyzetszveg"/>
      </w:pPr>
      <w:r w:rsidRPr="008F6EDC">
        <w:rPr>
          <w:rStyle w:val="Lbjegyzet-hivatkozs"/>
        </w:rPr>
        <w:footnoteRef/>
      </w:r>
      <w:r w:rsidRPr="008F6EDC">
        <w:t xml:space="preserve"> A pszichiátriai betegek intézeti felvételének és az ellátásuk során alkalmazható korlátozó intézkedések szabályairól szóló 60/2004. (VII.6) </w:t>
      </w:r>
      <w:proofErr w:type="spellStart"/>
      <w:r w:rsidRPr="008F6EDC">
        <w:t>ESzCsM</w:t>
      </w:r>
      <w:proofErr w:type="spellEnd"/>
      <w:r w:rsidRPr="008F6EDC">
        <w:t xml:space="preserve"> rendelet 1. § </w:t>
      </w:r>
      <w:r>
        <w:t xml:space="preserve">(1) bekezdés </w:t>
      </w:r>
      <w:r w:rsidRPr="008F6EDC">
        <w:rPr>
          <w:i/>
        </w:rPr>
        <w:t>b)</w:t>
      </w:r>
      <w:r>
        <w:t xml:space="preserve"> pont: „</w:t>
      </w:r>
      <w:r w:rsidRPr="002D0384">
        <w:rPr>
          <w:i/>
          <w:iCs/>
        </w:rPr>
        <w:t>pszichikai korlátozás:</w:t>
      </w:r>
      <w:r w:rsidRPr="002D0384">
        <w:t xml:space="preserve"> </w:t>
      </w:r>
      <w:r>
        <w:t>a</w:t>
      </w:r>
      <w:r w:rsidRPr="00E60D4D">
        <w:rPr>
          <w:rFonts w:cs="Adobe Garamond Pro"/>
          <w:color w:val="000000"/>
        </w:rPr>
        <w:t xml:space="preserve"> pszichiátriai beteg felszólítása a veszélyeztető, illetve a közvetlen veszélyeztető magatartástól való tartózkodásra, illetve az ilyen magatartások abbahagyására, valamint a veszélyeztető, illetve a közvetlen veszélyeztető magatartás elhárítását célzó beavatkozásokkal, kezelésekkel történő együttműködésre való felszólítás, </w:t>
      </w:r>
      <w:r>
        <w:rPr>
          <w:rFonts w:cs="Adobe Garamond Pro"/>
          <w:color w:val="000000"/>
        </w:rPr>
        <w:t xml:space="preserve">(…) </w:t>
      </w:r>
      <w:r>
        <w:rPr>
          <w:rFonts w:cs="Times New Roman"/>
          <w:color w:val="000000"/>
        </w:rPr>
        <w:t>[</w:t>
      </w:r>
      <w:r w:rsidRPr="00E60D4D">
        <w:rPr>
          <w:rFonts w:cs="Adobe Garamond Pro"/>
          <w:color w:val="000000"/>
        </w:rPr>
        <w:t>valamint ezek</w:t>
      </w:r>
      <w:r>
        <w:rPr>
          <w:rFonts w:cs="Times New Roman"/>
          <w:color w:val="000000"/>
        </w:rPr>
        <w:t>]</w:t>
      </w:r>
      <w:r w:rsidRPr="00E60D4D">
        <w:rPr>
          <w:rFonts w:cs="Adobe Garamond Pro"/>
          <w:color w:val="000000"/>
        </w:rPr>
        <w:t xml:space="preserve"> eredménytelensége esetén az arra való figyelmeztetés, hogy egyéb korlátozó intézkedés alkalmazása következik.</w:t>
      </w:r>
      <w:r>
        <w:rPr>
          <w:rFonts w:cs="Adobe Garamond Pro"/>
          <w:color w:val="000000"/>
        </w:rPr>
        <w:t>”</w:t>
      </w:r>
    </w:p>
  </w:footnote>
  <w:footnote w:id="20">
    <w:p w14:paraId="5075AF08" w14:textId="7B88A130" w:rsidR="002D0384" w:rsidRDefault="002D0384">
      <w:pPr>
        <w:pStyle w:val="Lbjegyzetszveg"/>
      </w:pPr>
      <w:r w:rsidRPr="008F6EDC">
        <w:rPr>
          <w:rStyle w:val="Lbjegyzet-hivatkozs"/>
        </w:rPr>
        <w:footnoteRef/>
      </w:r>
      <w:r w:rsidRPr="008F6EDC">
        <w:t xml:space="preserve"> Uo. </w:t>
      </w:r>
      <w:r w:rsidRPr="008F6EDC">
        <w:rPr>
          <w:i/>
        </w:rPr>
        <w:t>c)</w:t>
      </w:r>
      <w:r>
        <w:t xml:space="preserve"> pont: „</w:t>
      </w:r>
      <w:r w:rsidRPr="002D0384">
        <w:rPr>
          <w:i/>
          <w:iCs/>
        </w:rPr>
        <w:t>fizikai korlátozás:</w:t>
      </w:r>
      <w:r w:rsidRPr="002D0384">
        <w:t xml:space="preserve"> </w:t>
      </w:r>
      <w:r w:rsidR="001D074A">
        <w:t>a</w:t>
      </w:r>
      <w:r w:rsidRPr="00E60D4D">
        <w:t xml:space="preserve"> pszichiátriai beteg szabad mozgásának megtagadása, illetve mozgási szabadságának testi kényszerrel, fizikai és mechanikai eszközökkel, berendezésekkel való korlátozása, így különösen az osztály, a részleg és az intézet elhagyásának megtagadása és megakadályozása, az intézet területén történő mozgás korlátozása, az elkülönítés, a testi kényszer, a rögzítés, valamint a lekötés.</w:t>
      </w:r>
      <w:r>
        <w:t>”</w:t>
      </w:r>
    </w:p>
  </w:footnote>
  <w:footnote w:id="21">
    <w:p w14:paraId="38E4A2DB" w14:textId="3617AA9B" w:rsidR="002D0384" w:rsidRDefault="002D0384" w:rsidP="008F6EDC">
      <w:pPr>
        <w:pStyle w:val="Lbjegyzetszveg"/>
      </w:pPr>
      <w:r>
        <w:rPr>
          <w:rStyle w:val="Lbjegyzet-hivatkozs"/>
        </w:rPr>
        <w:footnoteRef/>
      </w:r>
      <w:r>
        <w:t xml:space="preserve"> Uo. </w:t>
      </w:r>
      <w:r w:rsidRPr="007C622C">
        <w:rPr>
          <w:i/>
        </w:rPr>
        <w:t>d)</w:t>
      </w:r>
      <w:r>
        <w:t xml:space="preserve"> pont: „</w:t>
      </w:r>
      <w:r w:rsidR="001D074A" w:rsidRPr="001D074A">
        <w:rPr>
          <w:i/>
          <w:iCs/>
        </w:rPr>
        <w:t>kémiai vagy biológiai korlátozás: </w:t>
      </w:r>
      <w:r w:rsidR="001D074A" w:rsidRPr="001D074A">
        <w:t xml:space="preserve"> </w:t>
      </w:r>
      <w:r w:rsidR="001D074A">
        <w:t>a</w:t>
      </w:r>
      <w:r w:rsidRPr="00E60D4D">
        <w:t xml:space="preserve"> veszélyeztető, illetve a közvetlenül veszélyeztető magatartás elhárításához szükséges mennyiségű gyógyszer beleegyezés nélkül történő alkalmazása.</w:t>
      </w:r>
      <w:r>
        <w:t>”</w:t>
      </w:r>
    </w:p>
  </w:footnote>
  <w:footnote w:id="22">
    <w:p w14:paraId="52C7EFFB" w14:textId="4319961A" w:rsidR="002D0384" w:rsidRDefault="002D0384">
      <w:pPr>
        <w:pStyle w:val="Lbjegyzetszveg"/>
      </w:pPr>
      <w:r>
        <w:rPr>
          <w:rStyle w:val="Lbjegyzet-hivatkozs"/>
        </w:rPr>
        <w:footnoteRef/>
      </w:r>
      <w:r>
        <w:t xml:space="preserve"> Uo. </w:t>
      </w:r>
      <w:r w:rsidRPr="00E60D4D">
        <w:rPr>
          <w:i/>
        </w:rPr>
        <w:t>e)</w:t>
      </w:r>
      <w:r>
        <w:t xml:space="preserve"> pont.</w:t>
      </w:r>
    </w:p>
  </w:footnote>
  <w:footnote w:id="23">
    <w:p w14:paraId="63F5F52A" w14:textId="12611F1A" w:rsidR="002D0384" w:rsidRDefault="002D0384">
      <w:pPr>
        <w:pStyle w:val="Lbjegyzetszveg"/>
      </w:pPr>
      <w:r>
        <w:rPr>
          <w:rStyle w:val="Lbjegyzet-hivatkozs"/>
        </w:rPr>
        <w:footnoteRef/>
      </w:r>
      <w:r>
        <w:t xml:space="preserve"> </w:t>
      </w:r>
      <w:proofErr w:type="spellStart"/>
      <w:r>
        <w:t>Eütv</w:t>
      </w:r>
      <w:proofErr w:type="spellEnd"/>
      <w:r>
        <w:t>. 192. § (1)</w:t>
      </w:r>
    </w:p>
  </w:footnote>
  <w:footnote w:id="24">
    <w:p w14:paraId="72F1B761" w14:textId="41964F79" w:rsidR="002D0384" w:rsidRDefault="002D0384">
      <w:pPr>
        <w:pStyle w:val="Lbjegyzetszveg"/>
      </w:pPr>
      <w:r>
        <w:rPr>
          <w:rStyle w:val="Lbjegyzet-hivatkozs"/>
        </w:rPr>
        <w:footnoteRef/>
      </w:r>
      <w:r>
        <w:t xml:space="preserve"> Uo.</w:t>
      </w:r>
    </w:p>
  </w:footnote>
  <w:footnote w:id="25">
    <w:p w14:paraId="38DD6A33" w14:textId="29135DE0" w:rsidR="002D0384" w:rsidRDefault="002D0384">
      <w:pPr>
        <w:pStyle w:val="Lbjegyzetszveg"/>
      </w:pPr>
      <w:r>
        <w:rPr>
          <w:rStyle w:val="Lbjegyzet-hivatkozs"/>
        </w:rPr>
        <w:footnoteRef/>
      </w:r>
      <w:r>
        <w:t xml:space="preserve"> </w:t>
      </w:r>
      <w:r w:rsidRPr="00604190">
        <w:t>A pszichiátriai betegek intézeti felvételének és az ellátásuk során alkalmazható korlátozó intézkedések szabályairól szóló 60</w:t>
      </w:r>
      <w:r>
        <w:t xml:space="preserve">/2004. (VII.6) </w:t>
      </w:r>
      <w:proofErr w:type="spellStart"/>
      <w:r>
        <w:t>ESzCsM</w:t>
      </w:r>
      <w:proofErr w:type="spellEnd"/>
      <w:r>
        <w:t xml:space="preserve"> rendelet 4</w:t>
      </w:r>
      <w:r w:rsidRPr="00604190">
        <w:t xml:space="preserve">. § </w:t>
      </w:r>
      <w:r>
        <w:t>(6) bekezdés.</w:t>
      </w:r>
    </w:p>
  </w:footnote>
  <w:footnote w:id="26">
    <w:p w14:paraId="7DB48E90" w14:textId="265F2313"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Vö.: Fot. 4. § a) pont.</w:t>
      </w:r>
      <w:r>
        <w:rPr>
          <w:rFonts w:cs="Times New Roman"/>
        </w:rPr>
        <w:t xml:space="preserve"> A </w:t>
      </w:r>
      <w:proofErr w:type="spellStart"/>
      <w:r>
        <w:rPr>
          <w:rFonts w:cs="Times New Roman"/>
        </w:rPr>
        <w:t>pszichoszociális</w:t>
      </w:r>
      <w:proofErr w:type="spellEnd"/>
      <w:r>
        <w:rPr>
          <w:rFonts w:cs="Times New Roman"/>
        </w:rPr>
        <w:t xml:space="preserve"> fogyatékosságról és a fogalom kialakulásáról bővebben: </w:t>
      </w:r>
      <w:r w:rsidRPr="0033087A">
        <w:rPr>
          <w:rFonts w:cs="Times New Roman"/>
        </w:rPr>
        <w:t xml:space="preserve">GOMBOS Gábor: </w:t>
      </w:r>
      <w:r w:rsidRPr="0033087A">
        <w:rPr>
          <w:rFonts w:cs="Times New Roman"/>
          <w:i/>
        </w:rPr>
        <w:t xml:space="preserve">Mi a </w:t>
      </w:r>
      <w:proofErr w:type="spellStart"/>
      <w:r w:rsidRPr="0033087A">
        <w:rPr>
          <w:rFonts w:cs="Times New Roman"/>
          <w:i/>
        </w:rPr>
        <w:t>pszichoszociális</w:t>
      </w:r>
      <w:proofErr w:type="spellEnd"/>
      <w:r w:rsidRPr="0033087A">
        <w:rPr>
          <w:rFonts w:cs="Times New Roman"/>
          <w:i/>
        </w:rPr>
        <w:t xml:space="preserve"> fogyatékosság?</w:t>
      </w:r>
      <w:r w:rsidRPr="0033087A">
        <w:rPr>
          <w:rFonts w:cs="Times New Roman"/>
        </w:rPr>
        <w:t xml:space="preserve"> </w:t>
      </w:r>
      <w:hyperlink r:id="rId1" w:history="1">
        <w:r w:rsidRPr="0033087A">
          <w:rPr>
            <w:rStyle w:val="Hiperhivatkozs"/>
            <w:rFonts w:cs="Times New Roman"/>
          </w:rPr>
          <w:t>http://rehabportal.hu/hirek/mi-a-pszichoszocialis-fogyatekossag</w:t>
        </w:r>
      </w:hyperlink>
      <w:r w:rsidRPr="0033087A">
        <w:rPr>
          <w:rFonts w:cs="Times New Roman"/>
        </w:rPr>
        <w:t xml:space="preserve"> (2016. 04. 26.)</w:t>
      </w:r>
      <w:r>
        <w:rPr>
          <w:rFonts w:cs="Times New Roman"/>
        </w:rPr>
        <w:t>.</w:t>
      </w:r>
    </w:p>
  </w:footnote>
  <w:footnote w:id="27">
    <w:p w14:paraId="12CE1D08"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A Fogyatékossággal élő személyek jogairól szóló ENSZ Egyezmény 1. cikke a „mental” kifejezést használja.</w:t>
      </w:r>
    </w:p>
  </w:footnote>
  <w:footnote w:id="28">
    <w:p w14:paraId="1213CE12"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Az </w:t>
      </w:r>
      <w:proofErr w:type="spellStart"/>
      <w:r w:rsidRPr="000D5AB9">
        <w:rPr>
          <w:rFonts w:cs="Times New Roman"/>
        </w:rPr>
        <w:t>Eütv</w:t>
      </w:r>
      <w:proofErr w:type="spellEnd"/>
      <w:r w:rsidRPr="000D5AB9">
        <w:rPr>
          <w:rFonts w:cs="Times New Roman"/>
        </w:rPr>
        <w:t>. 188. § d) pontja szerint „</w:t>
      </w:r>
      <w:r w:rsidRPr="000D5AB9">
        <w:rPr>
          <w:rFonts w:cs="Times New Roman"/>
          <w:i/>
          <w:iCs/>
        </w:rPr>
        <w:t xml:space="preserve">pszichiátriai beteg: </w:t>
      </w:r>
      <w:r w:rsidRPr="000D5AB9">
        <w:rPr>
          <w:rFonts w:cs="Times New Roman"/>
        </w:rPr>
        <w:t>az a beteg, akinél a kezelőorvos a Betegségek Nemzetközi Osztályozása X. Revíziója szerinti Mentális és Viselkedészavar (F00-F99), illetve szándékos önártalom (X60-X84) diagnózisát állítja fel.”</w:t>
      </w:r>
    </w:p>
  </w:footnote>
  <w:footnote w:id="29">
    <w:p w14:paraId="1CD53593"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Kiemelés tőlem: G.S.</w:t>
      </w:r>
    </w:p>
  </w:footnote>
  <w:footnote w:id="30">
    <w:p w14:paraId="3A75023F" w14:textId="77777777" w:rsidR="002D0384" w:rsidRPr="000D5AB9" w:rsidRDefault="002D0384" w:rsidP="00A63C57">
      <w:pPr>
        <w:pStyle w:val="Lbjegyzetszveg"/>
        <w:rPr>
          <w:rFonts w:cs="Times New Roman"/>
        </w:rPr>
      </w:pPr>
      <w:r w:rsidRPr="000D5AB9">
        <w:rPr>
          <w:rStyle w:val="Lbjegyzet-hivatkozs"/>
          <w:rFonts w:cs="Times New Roman"/>
        </w:rPr>
        <w:footnoteRef/>
      </w:r>
      <w:r w:rsidRPr="000D5AB9">
        <w:rPr>
          <w:rFonts w:cs="Times New Roman"/>
        </w:rPr>
        <w:t xml:space="preserve"> A Fogyatékossággal élő személyek jogairól szóló egyezmény és az ahhoz kapcsolódó Fakultatív Jegyzőkönyv kihirdetéséről szóló 2007. évi XCII. törvény 1. cikk.</w:t>
      </w:r>
    </w:p>
  </w:footnote>
  <w:footnote w:id="31">
    <w:p w14:paraId="35E40D6B" w14:textId="4217372D" w:rsidR="002D0384" w:rsidRDefault="002D0384">
      <w:pPr>
        <w:pStyle w:val="Lbjegyzetszveg"/>
      </w:pPr>
      <w:r>
        <w:rPr>
          <w:rStyle w:val="Lbjegyzet-hivatkozs"/>
        </w:rPr>
        <w:footnoteRef/>
      </w:r>
      <w:r>
        <w:t xml:space="preserve"> </w:t>
      </w:r>
      <w:r w:rsidRPr="0033087A">
        <w:t xml:space="preserve">Pszichiáter szakorvosok álláspontja szerint, míg a „krónikus”esetekre igaz lehet, hogy a </w:t>
      </w:r>
      <w:proofErr w:type="spellStart"/>
      <w:r w:rsidRPr="0033087A">
        <w:t>pszichoszociális</w:t>
      </w:r>
      <w:proofErr w:type="spellEnd"/>
      <w:r w:rsidRPr="0033087A">
        <w:t xml:space="preserve"> fogyatékosság kategóriájába tartoznak, addig a pszichiátriai osztályra alkalmi, „akut” problémával – pl. drog indukálta pszichózissal, </w:t>
      </w:r>
      <w:proofErr w:type="spellStart"/>
      <w:r w:rsidRPr="0033087A">
        <w:t>szuicid</w:t>
      </w:r>
      <w:proofErr w:type="spellEnd"/>
      <w:r w:rsidRPr="0033087A">
        <w:t xml:space="preserve"> krízissel – felvett személyeket tévedés lenne a fogyatékossággal élő személyek csoportjába sorolni.</w:t>
      </w:r>
    </w:p>
  </w:footnote>
  <w:footnote w:id="32">
    <w:p w14:paraId="08E3963E"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CRPD preambulum e) bekezdés.</w:t>
      </w:r>
    </w:p>
  </w:footnote>
  <w:footnote w:id="33">
    <w:p w14:paraId="1E07903B"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1. cikk.</w:t>
      </w:r>
    </w:p>
  </w:footnote>
  <w:footnote w:id="34">
    <w:p w14:paraId="2334FAC2"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3(d) cikk.</w:t>
      </w:r>
    </w:p>
  </w:footnote>
  <w:footnote w:id="35">
    <w:p w14:paraId="4284975A"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3(a) cikk.</w:t>
      </w:r>
    </w:p>
  </w:footnote>
  <w:footnote w:id="36">
    <w:p w14:paraId="73AF3E58"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4(3) cikk.</w:t>
      </w:r>
    </w:p>
  </w:footnote>
  <w:footnote w:id="37">
    <w:p w14:paraId="24F7B054"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Marianne GIJZEN: A fogyatékos emberekre és velük szembeni diszkriminációt tiltó jogra vonatkozó elméletek: áttérés az orvosiról a szociális modellre. In: </w:t>
      </w:r>
      <w:r w:rsidRPr="000D5AB9">
        <w:rPr>
          <w:rFonts w:cs="Times New Roman"/>
          <w:i/>
        </w:rPr>
        <w:t xml:space="preserve">National Confederation of Disabled People – Greece: A fogyatékos emberek érdekeit képviselő aktivisták és jogvédők. </w:t>
      </w:r>
      <w:r w:rsidRPr="000D5AB9">
        <w:rPr>
          <w:rFonts w:cs="Times New Roman"/>
        </w:rPr>
        <w:t>Képzési kézikönyv. Budapest, MEOSZ, 2006. 13.</w:t>
      </w:r>
    </w:p>
  </w:footnote>
  <w:footnote w:id="38">
    <w:p w14:paraId="4D3451D1"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A fogyatékosság megközelítésének modelljeiről bővebben: KÖNCZEI György - HERNÁDI Ilona: A fogyatékosságtudomány főfogalma és annak változásai. Hipotetikus kísérlet rekonstrukcióra. In: NAGY Zita Éva (szerk.): </w:t>
      </w:r>
      <w:r w:rsidRPr="000D5AB9">
        <w:rPr>
          <w:rFonts w:cs="Times New Roman"/>
          <w:i/>
        </w:rPr>
        <w:t>Az akadályozott és az egészségkárosodott emberek élethelyzete Magyarországon</w:t>
      </w:r>
      <w:r w:rsidRPr="000D5AB9">
        <w:rPr>
          <w:rFonts w:cs="Times New Roman"/>
        </w:rPr>
        <w:t xml:space="preserve">. Kutatási eredmények a TÁMOP 5. 4. 1. projekt kutatási pillérében. Budapest, Nemzeti Család- és Szociálpolitikai Intézet, 2011. 7-28.; Dan GOODLEY: </w:t>
      </w:r>
      <w:r w:rsidRPr="000D5AB9">
        <w:rPr>
          <w:rFonts w:cs="Times New Roman"/>
          <w:i/>
        </w:rPr>
        <w:t>Disability Studies: An Interdisciplinary Introduction</w:t>
      </w:r>
      <w:r w:rsidRPr="000D5AB9">
        <w:rPr>
          <w:rFonts w:cs="Times New Roman"/>
        </w:rPr>
        <w:t>. London, SAGE, 2011.</w:t>
      </w:r>
    </w:p>
  </w:footnote>
  <w:footnote w:id="39">
    <w:p w14:paraId="6B33ADD1"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Vö. Simi LITVAK: Disability Studies vs. Disability Policy Studies. 14 </w:t>
      </w:r>
      <w:r w:rsidRPr="0048127A">
        <w:rPr>
          <w:rFonts w:cs="Times New Roman"/>
          <w:i/>
        </w:rPr>
        <w:t>Disability Stud. Q</w:t>
      </w:r>
      <w:r w:rsidRPr="000D5AB9">
        <w:rPr>
          <w:rFonts w:cs="Times New Roman"/>
        </w:rPr>
        <w:t xml:space="preserve">. no. 2, Summer 1994. 24. Idézi: Arlene S. KANTER: The Law: What’s Disability Studies Got to Do with it or An Introduction to Disability Legal Studies. </w:t>
      </w:r>
      <w:r w:rsidRPr="000D5AB9">
        <w:rPr>
          <w:rFonts w:cs="Times New Roman"/>
          <w:i/>
        </w:rPr>
        <w:t>Columbia Human Rights Law Review</w:t>
      </w:r>
      <w:r w:rsidRPr="000D5AB9">
        <w:rPr>
          <w:rFonts w:cs="Times New Roman"/>
        </w:rPr>
        <w:t>, Vol. 42, No. 2, 2011. 408.</w:t>
      </w:r>
    </w:p>
  </w:footnote>
  <w:footnote w:id="40">
    <w:p w14:paraId="11BB1E92" w14:textId="77777777" w:rsidR="002D0384" w:rsidRDefault="002D0384" w:rsidP="00E4175E">
      <w:pPr>
        <w:pStyle w:val="Lbjegyzetszveg"/>
      </w:pPr>
      <w:r>
        <w:rPr>
          <w:rStyle w:val="Lbjegyzet-hivatkozs"/>
        </w:rPr>
        <w:footnoteRef/>
      </w:r>
      <w:r>
        <w:t xml:space="preserve"> BÁNYAI Borbála – LÉGMÁN Anna: </w:t>
      </w:r>
      <w:r w:rsidRPr="00B33934">
        <w:rPr>
          <w:i/>
        </w:rPr>
        <w:t>Az állam szerepének változásai a pszichiátriai ellátórendszerben</w:t>
      </w:r>
      <w:r>
        <w:t>. 2007. 8. A tanulmány szerint a Magyarországon – gondozókban – nyilvántartott pszichiátriai betegek száma 1965 és 2007 között az alábbi módon alakult:</w:t>
      </w:r>
    </w:p>
    <w:tbl>
      <w:tblPr>
        <w:tblW w:w="9082" w:type="dxa"/>
        <w:tblInd w:w="60" w:type="dxa"/>
        <w:tblCellMar>
          <w:left w:w="70" w:type="dxa"/>
          <w:right w:w="70" w:type="dxa"/>
        </w:tblCellMar>
        <w:tblLook w:val="0000" w:firstRow="0" w:lastRow="0" w:firstColumn="0" w:lastColumn="0" w:noHBand="0" w:noVBand="0"/>
      </w:tblPr>
      <w:tblGrid>
        <w:gridCol w:w="2020"/>
        <w:gridCol w:w="690"/>
        <w:gridCol w:w="708"/>
        <w:gridCol w:w="851"/>
        <w:gridCol w:w="850"/>
        <w:gridCol w:w="993"/>
        <w:gridCol w:w="992"/>
        <w:gridCol w:w="992"/>
        <w:gridCol w:w="992"/>
      </w:tblGrid>
      <w:tr w:rsidR="002D0384" w:rsidRPr="00B33934" w14:paraId="1827F2B0" w14:textId="77777777" w:rsidTr="00B33934">
        <w:trPr>
          <w:trHeight w:val="270"/>
        </w:trPr>
        <w:tc>
          <w:tcPr>
            <w:tcW w:w="2020" w:type="dxa"/>
            <w:tcBorders>
              <w:top w:val="single" w:sz="8" w:space="0" w:color="auto"/>
              <w:left w:val="single" w:sz="8" w:space="0" w:color="auto"/>
              <w:bottom w:val="single" w:sz="4" w:space="0" w:color="auto"/>
              <w:right w:val="nil"/>
            </w:tcBorders>
            <w:shd w:val="clear" w:color="auto" w:fill="auto"/>
            <w:noWrap/>
            <w:vAlign w:val="bottom"/>
          </w:tcPr>
          <w:p w14:paraId="52907126" w14:textId="77777777" w:rsidR="002D0384" w:rsidRPr="00B33934" w:rsidRDefault="002D0384" w:rsidP="00B33934">
            <w:pPr>
              <w:pStyle w:val="Lbjegyzetszveg"/>
            </w:pPr>
            <w:r w:rsidRPr="00B33934">
              <w:t> </w:t>
            </w:r>
          </w:p>
        </w:tc>
        <w:tc>
          <w:tcPr>
            <w:tcW w:w="6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519BCB" w14:textId="77777777" w:rsidR="002D0384" w:rsidRPr="00B33934" w:rsidRDefault="002D0384" w:rsidP="00B33934">
            <w:pPr>
              <w:pStyle w:val="Lbjegyzetszveg"/>
            </w:pPr>
            <w:r w:rsidRPr="00B33934">
              <w:t>1965</w:t>
            </w:r>
          </w:p>
        </w:tc>
        <w:tc>
          <w:tcPr>
            <w:tcW w:w="708" w:type="dxa"/>
            <w:tcBorders>
              <w:top w:val="single" w:sz="8" w:space="0" w:color="auto"/>
              <w:left w:val="nil"/>
              <w:bottom w:val="single" w:sz="8" w:space="0" w:color="auto"/>
              <w:right w:val="single" w:sz="4" w:space="0" w:color="auto"/>
            </w:tcBorders>
            <w:shd w:val="clear" w:color="auto" w:fill="auto"/>
            <w:noWrap/>
            <w:vAlign w:val="center"/>
          </w:tcPr>
          <w:p w14:paraId="77D27E2E" w14:textId="77777777" w:rsidR="002D0384" w:rsidRPr="00B33934" w:rsidRDefault="002D0384" w:rsidP="00B33934">
            <w:pPr>
              <w:pStyle w:val="Lbjegyzetszveg"/>
            </w:pPr>
            <w:r w:rsidRPr="00B33934">
              <w:t>1970</w:t>
            </w:r>
          </w:p>
        </w:tc>
        <w:tc>
          <w:tcPr>
            <w:tcW w:w="851" w:type="dxa"/>
            <w:tcBorders>
              <w:top w:val="single" w:sz="8" w:space="0" w:color="auto"/>
              <w:left w:val="nil"/>
              <w:bottom w:val="single" w:sz="8" w:space="0" w:color="auto"/>
              <w:right w:val="single" w:sz="4" w:space="0" w:color="auto"/>
            </w:tcBorders>
            <w:shd w:val="clear" w:color="auto" w:fill="auto"/>
            <w:noWrap/>
            <w:vAlign w:val="center"/>
          </w:tcPr>
          <w:p w14:paraId="613F96D5" w14:textId="77777777" w:rsidR="002D0384" w:rsidRPr="00B33934" w:rsidRDefault="002D0384" w:rsidP="00B33934">
            <w:pPr>
              <w:pStyle w:val="Lbjegyzetszveg"/>
            </w:pPr>
            <w:r w:rsidRPr="00B33934">
              <w:t>1975</w:t>
            </w:r>
          </w:p>
        </w:tc>
        <w:tc>
          <w:tcPr>
            <w:tcW w:w="850" w:type="dxa"/>
            <w:tcBorders>
              <w:top w:val="single" w:sz="8" w:space="0" w:color="auto"/>
              <w:left w:val="nil"/>
              <w:bottom w:val="single" w:sz="8" w:space="0" w:color="auto"/>
              <w:right w:val="single" w:sz="4" w:space="0" w:color="auto"/>
            </w:tcBorders>
            <w:shd w:val="clear" w:color="auto" w:fill="auto"/>
            <w:noWrap/>
            <w:vAlign w:val="center"/>
          </w:tcPr>
          <w:p w14:paraId="5F8A476A" w14:textId="77777777" w:rsidR="002D0384" w:rsidRPr="00B33934" w:rsidRDefault="002D0384" w:rsidP="00B33934">
            <w:pPr>
              <w:pStyle w:val="Lbjegyzetszveg"/>
            </w:pPr>
            <w:r w:rsidRPr="00B33934">
              <w:t>1980</w:t>
            </w:r>
          </w:p>
        </w:tc>
        <w:tc>
          <w:tcPr>
            <w:tcW w:w="993" w:type="dxa"/>
            <w:tcBorders>
              <w:top w:val="single" w:sz="8" w:space="0" w:color="auto"/>
              <w:left w:val="nil"/>
              <w:bottom w:val="single" w:sz="8" w:space="0" w:color="auto"/>
              <w:right w:val="single" w:sz="4" w:space="0" w:color="auto"/>
            </w:tcBorders>
            <w:shd w:val="clear" w:color="auto" w:fill="auto"/>
            <w:noWrap/>
            <w:vAlign w:val="center"/>
          </w:tcPr>
          <w:p w14:paraId="56E285C6" w14:textId="77777777" w:rsidR="002D0384" w:rsidRPr="00B33934" w:rsidRDefault="002D0384" w:rsidP="00B33934">
            <w:pPr>
              <w:pStyle w:val="Lbjegyzetszveg"/>
            </w:pPr>
            <w:r w:rsidRPr="00B33934">
              <w:t>1985</w:t>
            </w:r>
          </w:p>
        </w:tc>
        <w:tc>
          <w:tcPr>
            <w:tcW w:w="992" w:type="dxa"/>
            <w:tcBorders>
              <w:top w:val="single" w:sz="8" w:space="0" w:color="auto"/>
              <w:left w:val="nil"/>
              <w:bottom w:val="single" w:sz="8" w:space="0" w:color="auto"/>
              <w:right w:val="single" w:sz="4" w:space="0" w:color="auto"/>
            </w:tcBorders>
            <w:shd w:val="clear" w:color="auto" w:fill="auto"/>
            <w:noWrap/>
            <w:vAlign w:val="center"/>
          </w:tcPr>
          <w:p w14:paraId="4B32D5B8" w14:textId="77777777" w:rsidR="002D0384" w:rsidRPr="00B33934" w:rsidRDefault="002D0384" w:rsidP="00B33934">
            <w:pPr>
              <w:pStyle w:val="Lbjegyzetszveg"/>
            </w:pPr>
            <w:r w:rsidRPr="00B33934">
              <w:t>1990</w:t>
            </w:r>
          </w:p>
        </w:tc>
        <w:tc>
          <w:tcPr>
            <w:tcW w:w="992" w:type="dxa"/>
            <w:tcBorders>
              <w:top w:val="single" w:sz="8" w:space="0" w:color="auto"/>
              <w:left w:val="nil"/>
              <w:bottom w:val="single" w:sz="8" w:space="0" w:color="auto"/>
              <w:right w:val="single" w:sz="4" w:space="0" w:color="auto"/>
            </w:tcBorders>
            <w:shd w:val="clear" w:color="auto" w:fill="auto"/>
            <w:noWrap/>
            <w:vAlign w:val="center"/>
          </w:tcPr>
          <w:p w14:paraId="783DD70C" w14:textId="77777777" w:rsidR="002D0384" w:rsidRPr="00B33934" w:rsidRDefault="002D0384" w:rsidP="00B33934">
            <w:pPr>
              <w:pStyle w:val="Lbjegyzetszveg"/>
            </w:pPr>
            <w:r>
              <w:t>2000</w:t>
            </w:r>
          </w:p>
        </w:tc>
        <w:tc>
          <w:tcPr>
            <w:tcW w:w="992" w:type="dxa"/>
            <w:tcBorders>
              <w:top w:val="single" w:sz="8" w:space="0" w:color="auto"/>
              <w:left w:val="nil"/>
              <w:bottom w:val="single" w:sz="8" w:space="0" w:color="auto"/>
              <w:right w:val="single" w:sz="8" w:space="0" w:color="auto"/>
            </w:tcBorders>
            <w:shd w:val="clear" w:color="auto" w:fill="auto"/>
            <w:noWrap/>
            <w:vAlign w:val="center"/>
          </w:tcPr>
          <w:p w14:paraId="776FD414" w14:textId="77777777" w:rsidR="002D0384" w:rsidRPr="00B33934" w:rsidRDefault="002D0384" w:rsidP="00B33934">
            <w:pPr>
              <w:pStyle w:val="Lbjegyzetszveg"/>
            </w:pPr>
            <w:r>
              <w:t>2007</w:t>
            </w:r>
          </w:p>
        </w:tc>
      </w:tr>
      <w:tr w:rsidR="002D0384" w:rsidRPr="00B33934" w14:paraId="6E858A27" w14:textId="77777777" w:rsidTr="00B33934">
        <w:trPr>
          <w:trHeight w:val="540"/>
        </w:trPr>
        <w:tc>
          <w:tcPr>
            <w:tcW w:w="2020" w:type="dxa"/>
            <w:tcBorders>
              <w:top w:val="nil"/>
              <w:left w:val="single" w:sz="8" w:space="0" w:color="auto"/>
              <w:bottom w:val="single" w:sz="8" w:space="0" w:color="auto"/>
              <w:right w:val="single" w:sz="4" w:space="0" w:color="auto"/>
            </w:tcBorders>
            <w:shd w:val="clear" w:color="auto" w:fill="auto"/>
            <w:vAlign w:val="bottom"/>
          </w:tcPr>
          <w:p w14:paraId="4F96014F" w14:textId="77777777" w:rsidR="002D0384" w:rsidRPr="00B33934" w:rsidRDefault="002D0384" w:rsidP="00B33934">
            <w:pPr>
              <w:pStyle w:val="Lbjegyzetszveg"/>
            </w:pPr>
            <w:r w:rsidRPr="00B33934">
              <w:t>Nyilvántartott elme- és idegbetegek száma</w:t>
            </w:r>
          </w:p>
        </w:tc>
        <w:tc>
          <w:tcPr>
            <w:tcW w:w="684" w:type="dxa"/>
            <w:tcBorders>
              <w:top w:val="nil"/>
              <w:left w:val="nil"/>
              <w:bottom w:val="single" w:sz="8" w:space="0" w:color="auto"/>
              <w:right w:val="single" w:sz="4" w:space="0" w:color="auto"/>
            </w:tcBorders>
            <w:shd w:val="clear" w:color="auto" w:fill="auto"/>
            <w:noWrap/>
            <w:vAlign w:val="center"/>
          </w:tcPr>
          <w:p w14:paraId="48BD1674" w14:textId="77777777" w:rsidR="002D0384" w:rsidRPr="00B33934" w:rsidRDefault="002D0384" w:rsidP="00B33934">
            <w:pPr>
              <w:pStyle w:val="Lbjegyzetszveg"/>
            </w:pPr>
            <w:r w:rsidRPr="00B33934">
              <w:t>46</w:t>
            </w:r>
            <w:r>
              <w:t>.</w:t>
            </w:r>
            <w:r w:rsidRPr="00B33934">
              <w:t>574</w:t>
            </w:r>
          </w:p>
        </w:tc>
        <w:tc>
          <w:tcPr>
            <w:tcW w:w="708" w:type="dxa"/>
            <w:tcBorders>
              <w:top w:val="nil"/>
              <w:left w:val="nil"/>
              <w:bottom w:val="single" w:sz="8" w:space="0" w:color="auto"/>
              <w:right w:val="single" w:sz="4" w:space="0" w:color="auto"/>
            </w:tcBorders>
            <w:shd w:val="clear" w:color="auto" w:fill="auto"/>
            <w:noWrap/>
            <w:vAlign w:val="center"/>
          </w:tcPr>
          <w:p w14:paraId="1913496B" w14:textId="77777777" w:rsidR="002D0384" w:rsidRPr="00B33934" w:rsidRDefault="002D0384" w:rsidP="00B33934">
            <w:pPr>
              <w:pStyle w:val="Lbjegyzetszveg"/>
            </w:pPr>
            <w:r w:rsidRPr="00B33934">
              <w:t>62</w:t>
            </w:r>
            <w:r>
              <w:t>.</w:t>
            </w:r>
            <w:r w:rsidRPr="00B33934">
              <w:t>339</w:t>
            </w:r>
          </w:p>
        </w:tc>
        <w:tc>
          <w:tcPr>
            <w:tcW w:w="851" w:type="dxa"/>
            <w:tcBorders>
              <w:top w:val="nil"/>
              <w:left w:val="nil"/>
              <w:bottom w:val="single" w:sz="8" w:space="0" w:color="auto"/>
              <w:right w:val="single" w:sz="4" w:space="0" w:color="auto"/>
            </w:tcBorders>
            <w:shd w:val="clear" w:color="auto" w:fill="auto"/>
            <w:noWrap/>
            <w:vAlign w:val="center"/>
          </w:tcPr>
          <w:p w14:paraId="13F44938" w14:textId="77777777" w:rsidR="002D0384" w:rsidRPr="00B33934" w:rsidRDefault="002D0384" w:rsidP="00B33934">
            <w:pPr>
              <w:pStyle w:val="Lbjegyzetszveg"/>
            </w:pPr>
            <w:r w:rsidRPr="00B33934">
              <w:t>106</w:t>
            </w:r>
            <w:r>
              <w:t>.</w:t>
            </w:r>
            <w:r w:rsidRPr="00B33934">
              <w:t>312</w:t>
            </w:r>
          </w:p>
        </w:tc>
        <w:tc>
          <w:tcPr>
            <w:tcW w:w="850" w:type="dxa"/>
            <w:tcBorders>
              <w:top w:val="nil"/>
              <w:left w:val="nil"/>
              <w:bottom w:val="single" w:sz="8" w:space="0" w:color="auto"/>
              <w:right w:val="single" w:sz="4" w:space="0" w:color="auto"/>
            </w:tcBorders>
            <w:shd w:val="clear" w:color="auto" w:fill="auto"/>
            <w:noWrap/>
            <w:vAlign w:val="center"/>
          </w:tcPr>
          <w:p w14:paraId="1DA9976D" w14:textId="77777777" w:rsidR="002D0384" w:rsidRPr="00B33934" w:rsidRDefault="002D0384" w:rsidP="00B33934">
            <w:pPr>
              <w:pStyle w:val="Lbjegyzetszveg"/>
            </w:pPr>
            <w:r w:rsidRPr="00B33934">
              <w:t>107</w:t>
            </w:r>
            <w:r>
              <w:t>.</w:t>
            </w:r>
            <w:r w:rsidRPr="00B33934">
              <w:t>698</w:t>
            </w:r>
          </w:p>
        </w:tc>
        <w:tc>
          <w:tcPr>
            <w:tcW w:w="993" w:type="dxa"/>
            <w:tcBorders>
              <w:top w:val="nil"/>
              <w:left w:val="nil"/>
              <w:bottom w:val="single" w:sz="8" w:space="0" w:color="auto"/>
              <w:right w:val="single" w:sz="4" w:space="0" w:color="auto"/>
            </w:tcBorders>
            <w:shd w:val="clear" w:color="auto" w:fill="auto"/>
            <w:noWrap/>
            <w:vAlign w:val="center"/>
          </w:tcPr>
          <w:p w14:paraId="0E22FF47" w14:textId="77777777" w:rsidR="002D0384" w:rsidRPr="00B33934" w:rsidRDefault="002D0384" w:rsidP="00B33934">
            <w:pPr>
              <w:pStyle w:val="Lbjegyzetszveg"/>
            </w:pPr>
            <w:r w:rsidRPr="00B33934">
              <w:t>112</w:t>
            </w:r>
            <w:r>
              <w:t>.</w:t>
            </w:r>
            <w:r w:rsidRPr="00B33934">
              <w:t>162</w:t>
            </w:r>
          </w:p>
        </w:tc>
        <w:tc>
          <w:tcPr>
            <w:tcW w:w="992" w:type="dxa"/>
            <w:tcBorders>
              <w:top w:val="nil"/>
              <w:left w:val="nil"/>
              <w:bottom w:val="single" w:sz="8" w:space="0" w:color="auto"/>
              <w:right w:val="single" w:sz="4" w:space="0" w:color="auto"/>
            </w:tcBorders>
            <w:shd w:val="clear" w:color="auto" w:fill="auto"/>
            <w:noWrap/>
            <w:vAlign w:val="center"/>
          </w:tcPr>
          <w:p w14:paraId="6FA7EFA0" w14:textId="77777777" w:rsidR="002D0384" w:rsidRPr="00B33934" w:rsidRDefault="002D0384" w:rsidP="00B33934">
            <w:pPr>
              <w:pStyle w:val="Lbjegyzetszveg"/>
            </w:pPr>
            <w:r w:rsidRPr="00B33934">
              <w:t>127</w:t>
            </w:r>
            <w:r>
              <w:t>.</w:t>
            </w:r>
            <w:r w:rsidRPr="00B33934">
              <w:t>884</w:t>
            </w:r>
          </w:p>
        </w:tc>
        <w:tc>
          <w:tcPr>
            <w:tcW w:w="992" w:type="dxa"/>
            <w:tcBorders>
              <w:top w:val="nil"/>
              <w:left w:val="nil"/>
              <w:bottom w:val="single" w:sz="8" w:space="0" w:color="auto"/>
              <w:right w:val="single" w:sz="4" w:space="0" w:color="auto"/>
            </w:tcBorders>
            <w:shd w:val="clear" w:color="auto" w:fill="auto"/>
            <w:noWrap/>
            <w:vAlign w:val="center"/>
          </w:tcPr>
          <w:p w14:paraId="18A0CD1B" w14:textId="77777777" w:rsidR="002D0384" w:rsidRPr="00B33934" w:rsidRDefault="002D0384" w:rsidP="00B33934">
            <w:pPr>
              <w:pStyle w:val="Lbjegyzetszveg"/>
            </w:pPr>
            <w:r w:rsidRPr="00B33934">
              <w:t>130</w:t>
            </w:r>
            <w:r>
              <w:t>.</w:t>
            </w:r>
            <w:r w:rsidRPr="00B33934">
              <w:t>762</w:t>
            </w:r>
          </w:p>
        </w:tc>
        <w:tc>
          <w:tcPr>
            <w:tcW w:w="992" w:type="dxa"/>
            <w:tcBorders>
              <w:top w:val="nil"/>
              <w:left w:val="nil"/>
              <w:bottom w:val="single" w:sz="8" w:space="0" w:color="auto"/>
              <w:right w:val="single" w:sz="8" w:space="0" w:color="auto"/>
            </w:tcBorders>
            <w:shd w:val="clear" w:color="auto" w:fill="auto"/>
            <w:noWrap/>
            <w:vAlign w:val="center"/>
          </w:tcPr>
          <w:p w14:paraId="6BE94193" w14:textId="77777777" w:rsidR="002D0384" w:rsidRPr="00B33934" w:rsidRDefault="002D0384" w:rsidP="00B33934">
            <w:pPr>
              <w:pStyle w:val="Lbjegyzetszveg"/>
            </w:pPr>
            <w:r w:rsidRPr="00B33934">
              <w:t>146</w:t>
            </w:r>
            <w:r>
              <w:t>.</w:t>
            </w:r>
            <w:r w:rsidRPr="00B33934">
              <w:t>029</w:t>
            </w:r>
          </w:p>
        </w:tc>
      </w:tr>
    </w:tbl>
    <w:p w14:paraId="1411EDA3" w14:textId="77777777" w:rsidR="002D0384" w:rsidRDefault="002D0384" w:rsidP="00E4175E">
      <w:pPr>
        <w:pStyle w:val="Lbjegyzetszveg"/>
      </w:pPr>
    </w:p>
  </w:footnote>
  <w:footnote w:id="41">
    <w:p w14:paraId="0ED6363F" w14:textId="77777777" w:rsidR="002D0384" w:rsidRDefault="002D0384" w:rsidP="00E4175E">
      <w:pPr>
        <w:pStyle w:val="Lbjegyzetszveg"/>
      </w:pPr>
      <w:r>
        <w:rPr>
          <w:rStyle w:val="Lbjegyzet-hivatkozs"/>
        </w:rPr>
        <w:footnoteRef/>
      </w:r>
      <w:r>
        <w:t xml:space="preserve"> Központi Statisztikai Hivatal: </w:t>
      </w:r>
      <w:r w:rsidRPr="00C31A27">
        <w:rPr>
          <w:i/>
        </w:rPr>
        <w:t xml:space="preserve">Magyar </w:t>
      </w:r>
      <w:r>
        <w:rPr>
          <w:i/>
        </w:rPr>
        <w:t>S</w:t>
      </w:r>
      <w:r w:rsidRPr="00C31A27">
        <w:rPr>
          <w:i/>
        </w:rPr>
        <w:t>tatisztikai Évkönyv, 2010</w:t>
      </w:r>
      <w:r>
        <w:t>. Központi Statisztikai Hivatal, Budapest, 2011. 125.</w:t>
      </w:r>
    </w:p>
  </w:footnote>
  <w:footnote w:id="42">
    <w:p w14:paraId="4AEBD2EC" w14:textId="77777777" w:rsidR="002D0384" w:rsidRDefault="002D0384" w:rsidP="00E4175E">
      <w:pPr>
        <w:pStyle w:val="Lbjegyzetszveg"/>
      </w:pPr>
      <w:r>
        <w:rPr>
          <w:rStyle w:val="Lbjegyzet-hivatkozs"/>
        </w:rPr>
        <w:footnoteRef/>
      </w:r>
      <w:r>
        <w:t xml:space="preserve"> </w:t>
      </w:r>
      <w:r w:rsidRPr="00C31A27">
        <w:t xml:space="preserve">Központi Statisztikai Hivatal: </w:t>
      </w:r>
      <w:r w:rsidRPr="00C31A27">
        <w:rPr>
          <w:i/>
        </w:rPr>
        <w:t xml:space="preserve">Magyar </w:t>
      </w:r>
      <w:r>
        <w:rPr>
          <w:i/>
        </w:rPr>
        <w:t>S</w:t>
      </w:r>
      <w:r w:rsidRPr="00C31A27">
        <w:rPr>
          <w:i/>
        </w:rPr>
        <w:t>tatisztikai Évkönyv, 2013.</w:t>
      </w:r>
      <w:r w:rsidRPr="00C31A27">
        <w:t xml:space="preserve"> Központi Statisztik</w:t>
      </w:r>
      <w:r>
        <w:t>ai Hivatal, Budapest, 2013. 109.</w:t>
      </w:r>
    </w:p>
  </w:footnote>
  <w:footnote w:id="43">
    <w:p w14:paraId="78D6CC49" w14:textId="046667A0" w:rsidR="002D0384" w:rsidRDefault="002D0384" w:rsidP="0092178D">
      <w:pPr>
        <w:pStyle w:val="Lbjegyzetszveg"/>
      </w:pPr>
      <w:r>
        <w:rPr>
          <w:rStyle w:val="Lbjegyzet-hivatkozs"/>
        </w:rPr>
        <w:footnoteRef/>
      </w:r>
      <w:r>
        <w:t xml:space="preserve"> Állami Számvevőszék: </w:t>
      </w:r>
      <w:r w:rsidRPr="008E3442">
        <w:rPr>
          <w:i/>
        </w:rPr>
        <w:t>Jelentés a pszichiátriai betegellátás átalakításának ellenőrzéséről.</w:t>
      </w:r>
      <w:r>
        <w:t xml:space="preserve"> 2012. június.</w:t>
      </w:r>
      <w:r w:rsidRPr="0002580C">
        <w:rPr>
          <w:rFonts w:cs="Times New Roman"/>
          <w:sz w:val="24"/>
          <w:szCs w:val="22"/>
        </w:rPr>
        <w:t xml:space="preserve"> </w:t>
      </w:r>
      <w:r w:rsidRPr="0002580C">
        <w:t xml:space="preserve">[a továbbiakban: </w:t>
      </w:r>
      <w:r>
        <w:t>ÁSZ Jelentés</w:t>
      </w:r>
      <w:r w:rsidRPr="0002580C">
        <w:t>].</w:t>
      </w:r>
    </w:p>
  </w:footnote>
  <w:footnote w:id="44">
    <w:p w14:paraId="2C180822" w14:textId="5E5B1AA1" w:rsidR="002D0384" w:rsidRDefault="002D0384">
      <w:pPr>
        <w:pStyle w:val="Lbjegyzetszveg"/>
      </w:pPr>
      <w:r>
        <w:rPr>
          <w:rStyle w:val="Lbjegyzet-hivatkozs"/>
        </w:rPr>
        <w:footnoteRef/>
      </w:r>
      <w:r>
        <w:t xml:space="preserve"> Uo. 14.</w:t>
      </w:r>
    </w:p>
  </w:footnote>
  <w:footnote w:id="45">
    <w:p w14:paraId="238FEE59" w14:textId="6293A21D" w:rsidR="002D0384" w:rsidRDefault="002D0384">
      <w:pPr>
        <w:pStyle w:val="Lbjegyzetszveg"/>
      </w:pPr>
      <w:r>
        <w:rPr>
          <w:rStyle w:val="Lbjegyzet-hivatkozs"/>
        </w:rPr>
        <w:footnoteRef/>
      </w:r>
      <w:r>
        <w:t xml:space="preserve"> European </w:t>
      </w:r>
      <w:proofErr w:type="spellStart"/>
      <w:r>
        <w:t>Commission</w:t>
      </w:r>
      <w:proofErr w:type="spellEnd"/>
      <w:r>
        <w:t xml:space="preserve">: </w:t>
      </w:r>
      <w:proofErr w:type="spellStart"/>
      <w:r w:rsidRPr="00E07A18">
        <w:rPr>
          <w:i/>
        </w:rPr>
        <w:t>Special</w:t>
      </w:r>
      <w:proofErr w:type="spellEnd"/>
      <w:r w:rsidRPr="00E07A18">
        <w:rPr>
          <w:i/>
        </w:rPr>
        <w:t xml:space="preserve"> </w:t>
      </w:r>
      <w:proofErr w:type="spellStart"/>
      <w:r w:rsidRPr="00E07A18">
        <w:rPr>
          <w:i/>
        </w:rPr>
        <w:t>Eurobarometer</w:t>
      </w:r>
      <w:proofErr w:type="spellEnd"/>
      <w:r w:rsidRPr="00E07A18">
        <w:rPr>
          <w:i/>
        </w:rPr>
        <w:t xml:space="preserve"> 345 </w:t>
      </w:r>
      <w:proofErr w:type="spellStart"/>
      <w:r w:rsidRPr="00E07A18">
        <w:rPr>
          <w:i/>
        </w:rPr>
        <w:t>Report</w:t>
      </w:r>
      <w:proofErr w:type="spellEnd"/>
      <w:r w:rsidRPr="00E07A18">
        <w:rPr>
          <w:i/>
        </w:rPr>
        <w:t xml:space="preserve"> </w:t>
      </w:r>
      <w:proofErr w:type="spellStart"/>
      <w:r w:rsidRPr="00E07A18">
        <w:rPr>
          <w:i/>
        </w:rPr>
        <w:t>on</w:t>
      </w:r>
      <w:proofErr w:type="spellEnd"/>
      <w:r w:rsidRPr="00E07A18">
        <w:rPr>
          <w:i/>
        </w:rPr>
        <w:t xml:space="preserve"> </w:t>
      </w:r>
      <w:proofErr w:type="spellStart"/>
      <w:r w:rsidRPr="00E07A18">
        <w:rPr>
          <w:i/>
        </w:rPr>
        <w:t>Mental</w:t>
      </w:r>
      <w:proofErr w:type="spellEnd"/>
      <w:r w:rsidRPr="00E07A18">
        <w:rPr>
          <w:i/>
        </w:rPr>
        <w:t xml:space="preserve"> Health</w:t>
      </w:r>
      <w:r>
        <w:t>. 2010.</w:t>
      </w:r>
    </w:p>
  </w:footnote>
  <w:footnote w:id="46">
    <w:p w14:paraId="06A296E4" w14:textId="263D01B5" w:rsidR="002D0384" w:rsidRDefault="002D0384">
      <w:pPr>
        <w:pStyle w:val="Lbjegyzetszveg"/>
      </w:pPr>
      <w:r>
        <w:rPr>
          <w:rStyle w:val="Lbjegyzet-hivatkozs"/>
        </w:rPr>
        <w:footnoteRef/>
      </w:r>
      <w:r>
        <w:t xml:space="preserve"> ÁSZ Jelentés 19.</w:t>
      </w:r>
    </w:p>
  </w:footnote>
  <w:footnote w:id="47">
    <w:p w14:paraId="43E46181" w14:textId="7CBF92A0" w:rsidR="002D0384" w:rsidRDefault="002D0384">
      <w:pPr>
        <w:pStyle w:val="Lbjegyzetszveg"/>
      </w:pPr>
      <w:r>
        <w:rPr>
          <w:rStyle w:val="Lbjegyzet-hivatkozs"/>
        </w:rPr>
        <w:footnoteRef/>
      </w:r>
      <w:r>
        <w:t xml:space="preserve"> Uo. 18.</w:t>
      </w:r>
    </w:p>
  </w:footnote>
  <w:footnote w:id="48">
    <w:p w14:paraId="1BE98BFA" w14:textId="216C25C0" w:rsidR="002D0384" w:rsidRDefault="002D0384">
      <w:pPr>
        <w:pStyle w:val="Lbjegyzetszveg"/>
      </w:pPr>
      <w:r>
        <w:rPr>
          <w:rStyle w:val="Lbjegyzet-hivatkozs"/>
        </w:rPr>
        <w:footnoteRef/>
      </w:r>
      <w:r>
        <w:t xml:space="preserve"> Uo. 24.</w:t>
      </w:r>
    </w:p>
  </w:footnote>
  <w:footnote w:id="49">
    <w:p w14:paraId="5C113765" w14:textId="5E1C784D" w:rsidR="002D0384" w:rsidRDefault="002D0384">
      <w:pPr>
        <w:pStyle w:val="Lbjegyzetszveg"/>
      </w:pPr>
      <w:r>
        <w:rPr>
          <w:rStyle w:val="Lbjegyzet-hivatkozs"/>
        </w:rPr>
        <w:footnoteRef/>
      </w:r>
      <w:r>
        <w:t xml:space="preserve"> </w:t>
      </w:r>
      <w:r w:rsidRPr="00233949">
        <w:t xml:space="preserve">WHO HQ and WHO </w:t>
      </w:r>
      <w:proofErr w:type="spellStart"/>
      <w:r w:rsidRPr="00233949">
        <w:t>Regional</w:t>
      </w:r>
      <w:proofErr w:type="spellEnd"/>
      <w:r w:rsidRPr="00233949">
        <w:t xml:space="preserve"> Office </w:t>
      </w:r>
      <w:proofErr w:type="spellStart"/>
      <w:r w:rsidRPr="00233949">
        <w:t>for</w:t>
      </w:r>
      <w:proofErr w:type="spellEnd"/>
      <w:r w:rsidRPr="00233949">
        <w:t xml:space="preserve"> Europe: </w:t>
      </w:r>
      <w:r w:rsidRPr="001D1FC2">
        <w:rPr>
          <w:i/>
        </w:rPr>
        <w:t xml:space="preserve">An </w:t>
      </w:r>
      <w:proofErr w:type="spellStart"/>
      <w:r w:rsidRPr="001D1FC2">
        <w:rPr>
          <w:i/>
        </w:rPr>
        <w:t>Assessment</w:t>
      </w:r>
      <w:proofErr w:type="spellEnd"/>
      <w:r w:rsidRPr="001D1FC2">
        <w:rPr>
          <w:i/>
        </w:rPr>
        <w:t xml:space="preserve"> of </w:t>
      </w:r>
      <w:proofErr w:type="spellStart"/>
      <w:r w:rsidRPr="001D1FC2">
        <w:rPr>
          <w:i/>
        </w:rPr>
        <w:t>the</w:t>
      </w:r>
      <w:proofErr w:type="spellEnd"/>
      <w:r w:rsidRPr="001D1FC2">
        <w:rPr>
          <w:i/>
        </w:rPr>
        <w:t xml:space="preserve"> </w:t>
      </w:r>
      <w:proofErr w:type="spellStart"/>
      <w:r w:rsidRPr="001D1FC2">
        <w:rPr>
          <w:i/>
        </w:rPr>
        <w:t>Hungarian</w:t>
      </w:r>
      <w:proofErr w:type="spellEnd"/>
      <w:r w:rsidRPr="001D1FC2">
        <w:rPr>
          <w:i/>
        </w:rPr>
        <w:t xml:space="preserve"> </w:t>
      </w:r>
      <w:proofErr w:type="spellStart"/>
      <w:r w:rsidRPr="001D1FC2">
        <w:rPr>
          <w:i/>
        </w:rPr>
        <w:t>Mental</w:t>
      </w:r>
      <w:proofErr w:type="spellEnd"/>
      <w:r w:rsidRPr="001D1FC2">
        <w:rPr>
          <w:i/>
        </w:rPr>
        <w:t xml:space="preserve"> Health </w:t>
      </w:r>
      <w:proofErr w:type="spellStart"/>
      <w:r w:rsidRPr="001D1FC2">
        <w:rPr>
          <w:i/>
        </w:rPr>
        <w:t>Care</w:t>
      </w:r>
      <w:proofErr w:type="spellEnd"/>
      <w:r w:rsidRPr="00233949">
        <w:t xml:space="preserve">. </w:t>
      </w:r>
      <w:proofErr w:type="spellStart"/>
      <w:r w:rsidRPr="00233949">
        <w:t>March</w:t>
      </w:r>
      <w:proofErr w:type="spellEnd"/>
      <w:r w:rsidRPr="00233949">
        <w:t xml:space="preserve"> 2014. </w:t>
      </w:r>
      <w:r>
        <w:t>2</w:t>
      </w:r>
      <w:r w:rsidRPr="00233949">
        <w:t>9.</w:t>
      </w:r>
    </w:p>
  </w:footnote>
  <w:footnote w:id="50">
    <w:p w14:paraId="38A02489"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E megközelítés párhuzamba állítható a kritikai fogyatékosságelmélet által alkalmazott megközelítéssel, amely </w:t>
      </w:r>
      <w:proofErr w:type="spellStart"/>
      <w:r w:rsidRPr="000D5AB9">
        <w:rPr>
          <w:rFonts w:cs="Times New Roman"/>
        </w:rPr>
        <w:t>Pothier</w:t>
      </w:r>
      <w:proofErr w:type="spellEnd"/>
      <w:r w:rsidRPr="000D5AB9">
        <w:rPr>
          <w:rFonts w:cs="Times New Roman"/>
        </w:rPr>
        <w:t xml:space="preserve"> és </w:t>
      </w:r>
      <w:proofErr w:type="spellStart"/>
      <w:r w:rsidRPr="000D5AB9">
        <w:rPr>
          <w:rFonts w:cs="Times New Roman"/>
        </w:rPr>
        <w:t>Devlin</w:t>
      </w:r>
      <w:proofErr w:type="spellEnd"/>
      <w:r w:rsidRPr="000D5AB9">
        <w:rPr>
          <w:rFonts w:cs="Times New Roman"/>
        </w:rPr>
        <w:t xml:space="preserve"> szerint „alulról felfelé fejlődik ki, a fogyatékossággal élő személyek megélt tapasztalataiból, nem pedig felülről lefelé, az elkülönítettséget jelentő elefántcsonttoronyból.” In: Dianne POTHIER and Richard DEVLIN (eds.): </w:t>
      </w:r>
      <w:r w:rsidRPr="000D5AB9">
        <w:rPr>
          <w:rFonts w:cs="Times New Roman"/>
          <w:i/>
        </w:rPr>
        <w:t>Critical Disability Theory: Essays in Philosophy, Politics, Policy, and Law</w:t>
      </w:r>
      <w:r w:rsidRPr="000D5AB9">
        <w:rPr>
          <w:rFonts w:cs="Times New Roman"/>
        </w:rPr>
        <w:t xml:space="preserve"> (Law and Society Series), Vancouver, UBC Press, 2006. 9.</w:t>
      </w:r>
    </w:p>
  </w:footnote>
  <w:footnote w:id="51">
    <w:p w14:paraId="72A66E1D"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FRA (2012) i. m. 54-59.</w:t>
      </w:r>
    </w:p>
  </w:footnote>
  <w:footnote w:id="52">
    <w:p w14:paraId="75DB4046"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56.</w:t>
      </w:r>
    </w:p>
  </w:footnote>
  <w:footnote w:id="53">
    <w:p w14:paraId="773DB370"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55.</w:t>
      </w:r>
    </w:p>
  </w:footnote>
  <w:footnote w:id="54">
    <w:p w14:paraId="1519D331" w14:textId="77777777" w:rsidR="002D0384" w:rsidRPr="000D5AB9" w:rsidRDefault="002D0384" w:rsidP="002B7190">
      <w:pPr>
        <w:pStyle w:val="Lbjegyzetszveg"/>
        <w:rPr>
          <w:rFonts w:cs="Times New Roman"/>
        </w:rPr>
      </w:pPr>
      <w:r w:rsidRPr="000D5AB9">
        <w:rPr>
          <w:rStyle w:val="Lbjegyzet-hivatkozs"/>
          <w:rFonts w:cs="Times New Roman"/>
        </w:rPr>
        <w:footnoteRef/>
      </w:r>
      <w:r w:rsidRPr="000D5AB9">
        <w:rPr>
          <w:rFonts w:cs="Times New Roman"/>
        </w:rPr>
        <w:t xml:space="preserve"> Uo. 60.</w:t>
      </w:r>
    </w:p>
  </w:footnote>
  <w:footnote w:id="55">
    <w:p w14:paraId="1AC7A9E3"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58.</w:t>
      </w:r>
    </w:p>
  </w:footnote>
  <w:footnote w:id="56">
    <w:p w14:paraId="78CD2DF2"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Az alapvető jogok biztosa, mint OPCAT nemzeti megelőző mechanizmus jelentése az Egyesített Szent István és Szent László Kórház- Rendelőintézet, Merényi Gusztáv Kórház telephely, Pszichiátriai és Addiktológiai Centrum, Pszichiátriai Osztály zárt részlegén történt látogatásról szóló, AJB-410/2015. számú ügyben [a továbiakban: AJB-410/2015. számú jelentés].</w:t>
      </w:r>
    </w:p>
  </w:footnote>
  <w:footnote w:id="57">
    <w:p w14:paraId="72689DDD"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21.</w:t>
      </w:r>
    </w:p>
  </w:footnote>
  <w:footnote w:id="58">
    <w:p w14:paraId="327D185A"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10</w:t>
      </w:r>
    </w:p>
  </w:footnote>
  <w:footnote w:id="59">
    <w:p w14:paraId="041C1249"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27.</w:t>
      </w:r>
    </w:p>
  </w:footnote>
  <w:footnote w:id="60">
    <w:p w14:paraId="43F628FA" w14:textId="77777777" w:rsidR="002D0384" w:rsidRPr="000D5AB9" w:rsidRDefault="002D0384" w:rsidP="00612250">
      <w:pPr>
        <w:pStyle w:val="Lbjegyzetszveg"/>
        <w:rPr>
          <w:rFonts w:cs="Times New Roman"/>
        </w:rPr>
      </w:pPr>
      <w:r w:rsidRPr="000D5AB9">
        <w:rPr>
          <w:rStyle w:val="Lbjegyzet-hivatkozs"/>
          <w:rFonts w:cs="Times New Roman"/>
        </w:rPr>
        <w:footnoteRef/>
      </w:r>
      <w:r w:rsidRPr="000D5AB9">
        <w:rPr>
          <w:rFonts w:cs="Times New Roman"/>
        </w:rPr>
        <w:t xml:space="preserve"> Lásd pl.: Az alapvető jogok biztosa, mint OPCAT nemzeti megelőző mechanizmus jelentése a Debreceni Terápiás Ház pszichiátriai betegeket és értelmi fogyatékosokat ápoló, gondozó bentlakásos szociális otthonban történt látogatásról szóló, AJB-372/2015. számú ügyben [a továbiakban: AJB-372/2015. számú jelentés].</w:t>
      </w:r>
    </w:p>
  </w:footnote>
  <w:footnote w:id="61">
    <w:p w14:paraId="558EC9F9" w14:textId="77777777" w:rsidR="002D0384" w:rsidRPr="000D5AB9" w:rsidRDefault="002D0384" w:rsidP="0074412C">
      <w:pPr>
        <w:pStyle w:val="Lbjegyzetszveg"/>
        <w:rPr>
          <w:rFonts w:cs="Times New Roman"/>
        </w:rPr>
      </w:pPr>
      <w:r w:rsidRPr="000D5AB9">
        <w:rPr>
          <w:rStyle w:val="Lbjegyzet-hivatkozs"/>
          <w:rFonts w:cs="Times New Roman"/>
        </w:rPr>
        <w:footnoteRef/>
      </w:r>
      <w:r w:rsidRPr="000D5AB9">
        <w:rPr>
          <w:rFonts w:cs="Times New Roman"/>
        </w:rPr>
        <w:t xml:space="preserve"> BAKONYI Péter: </w:t>
      </w:r>
      <w:r w:rsidRPr="000D5AB9">
        <w:rPr>
          <w:rFonts w:cs="Times New Roman"/>
          <w:i/>
        </w:rPr>
        <w:t>Téboly, terápia, stigma</w:t>
      </w:r>
      <w:r w:rsidRPr="000D5AB9">
        <w:rPr>
          <w:rFonts w:cs="Times New Roman"/>
        </w:rPr>
        <w:t>. Budapest, Szépirodalmi könyvkiadó, 1984. 250.</w:t>
      </w:r>
    </w:p>
  </w:footnote>
  <w:footnote w:id="62">
    <w:p w14:paraId="61E7366A" w14:textId="66471B4D"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Ilyen és hasonló megállapításokat emel ki a Kínzást és az embertelen vagy megalázó bánásmódot vagy büntetést megelőzni hivatott európai bizottság (</w:t>
      </w:r>
      <w:r w:rsidR="001D1FC2">
        <w:rPr>
          <w:rFonts w:cs="Times New Roman"/>
        </w:rPr>
        <w:t xml:space="preserve">a továbbiakban: </w:t>
      </w:r>
      <w:r w:rsidRPr="000D5AB9">
        <w:rPr>
          <w:rFonts w:cs="Times New Roman"/>
        </w:rPr>
        <w:t xml:space="preserve">CPT) 1997. évi tevékenységéről szóló 8. számú Általános Jelentése (8th General Report on the CPT's activities covering the period 1 January to </w:t>
      </w:r>
      <w:proofErr w:type="gramStart"/>
      <w:r w:rsidRPr="000D5AB9">
        <w:rPr>
          <w:rFonts w:cs="Times New Roman"/>
        </w:rPr>
        <w:t>31 December</w:t>
      </w:r>
      <w:proofErr w:type="gramEnd"/>
      <w:r w:rsidRPr="000D5AB9">
        <w:rPr>
          <w:rFonts w:cs="Times New Roman"/>
        </w:rPr>
        <w:t xml:space="preserve"> 1997. CPT/Inf (98) 12. 31 August 1998.) [a továbbiakban: CPT/Inf (98) 12.]. 34., 42., 47-48., 50., 52. bekezdés.</w:t>
      </w:r>
    </w:p>
  </w:footnote>
  <w:footnote w:id="63">
    <w:p w14:paraId="7E1F5BFE" w14:textId="77777777" w:rsidR="002D0384" w:rsidRPr="000D5AB9" w:rsidRDefault="002D0384" w:rsidP="0092589D">
      <w:pPr>
        <w:pStyle w:val="Lbjegyzetszveg"/>
        <w:rPr>
          <w:rFonts w:cs="Times New Roman"/>
        </w:rPr>
      </w:pPr>
      <w:r w:rsidRPr="000D5AB9">
        <w:rPr>
          <w:rStyle w:val="Lbjegyzet-hivatkozs"/>
          <w:rFonts w:cs="Times New Roman"/>
        </w:rPr>
        <w:footnoteRef/>
      </w:r>
      <w:r w:rsidRPr="000D5AB9">
        <w:rPr>
          <w:rFonts w:cs="Times New Roman"/>
        </w:rPr>
        <w:t xml:space="preserve"> Vö.: AJB-410/2015. számú jelentés. Ajánlások III. pont.</w:t>
      </w:r>
    </w:p>
  </w:footnote>
  <w:footnote w:id="64">
    <w:p w14:paraId="14191729" w14:textId="55A90694" w:rsidR="002D0384" w:rsidRPr="000D5AB9" w:rsidRDefault="002D0384" w:rsidP="00030D12">
      <w:pPr>
        <w:pStyle w:val="Lbjegyzetszveg"/>
        <w:rPr>
          <w:rFonts w:cs="Times New Roman"/>
          <w:bCs/>
        </w:rPr>
      </w:pPr>
      <w:r w:rsidRPr="000D5AB9">
        <w:rPr>
          <w:rStyle w:val="Lbjegyzet-hivatkozs"/>
          <w:rFonts w:cs="Times New Roman"/>
        </w:rPr>
        <w:footnoteRef/>
      </w:r>
      <w:r w:rsidRPr="000D5AB9">
        <w:rPr>
          <w:rFonts w:cs="Times New Roman"/>
        </w:rPr>
        <w:t xml:space="preserve"> Ezzel kapcsolatosan lásd például az USA-ban, 1983-ban született bírósági döntéseket a</w:t>
      </w:r>
      <w:r w:rsidRPr="000D5AB9">
        <w:rPr>
          <w:rFonts w:cs="Times New Roman"/>
          <w:bCs/>
          <w:i/>
        </w:rPr>
        <w:t xml:space="preserve"> Rogers v. Commissioner</w:t>
      </w:r>
      <w:r w:rsidRPr="000D5AB9">
        <w:rPr>
          <w:rFonts w:cs="Times New Roman"/>
          <w:bCs/>
        </w:rPr>
        <w:t xml:space="preserve"> (390 Mass. 489, 458 NE2d 308 (1983)) és a </w:t>
      </w:r>
      <w:r w:rsidRPr="000D5AB9">
        <w:rPr>
          <w:rFonts w:cs="Times New Roman"/>
          <w:bCs/>
          <w:i/>
        </w:rPr>
        <w:t>Rennie v. Klein</w:t>
      </w:r>
      <w:r w:rsidRPr="000D5AB9">
        <w:rPr>
          <w:rFonts w:cs="Times New Roman"/>
          <w:bCs/>
        </w:rPr>
        <w:t xml:space="preserve"> (720 F2d 266 (3rd Cir 1983)) ügyben; Lásd továbbá </w:t>
      </w:r>
      <w:r w:rsidR="001D1FC2">
        <w:rPr>
          <w:rFonts w:cs="Times New Roman"/>
          <w:bCs/>
        </w:rPr>
        <w:t>a CPT</w:t>
      </w:r>
      <w:r w:rsidRPr="000D5AB9">
        <w:rPr>
          <w:rFonts w:cs="Times New Roman"/>
          <w:bCs/>
        </w:rPr>
        <w:t xml:space="preserve"> 8. Általános Jelentésében hangsúlyozott álláspontját:</w:t>
      </w:r>
    </w:p>
    <w:p w14:paraId="219A4B59" w14:textId="77777777" w:rsidR="002D0384" w:rsidRPr="000D5AB9" w:rsidRDefault="002D0384">
      <w:pPr>
        <w:pStyle w:val="Lbjegyzetszveg"/>
        <w:rPr>
          <w:rFonts w:cs="Times New Roman"/>
        </w:rPr>
      </w:pPr>
      <w:r w:rsidRPr="000D5AB9">
        <w:rPr>
          <w:rFonts w:cs="Times New Roman"/>
          <w:bCs/>
        </w:rPr>
        <w:t>„A pácienst alapvetően olyan helyzetbe kell hozni, hogy a kezeléshez szabad és tájékozott beleegyezését adhassa. Azt, hogy egy személyt nem önkéntes alapon vettek fel egy pszichiátriai intézménybe, nem szabad úgy értelmezni, hogy a beleegyezése nélkül kezelhető. Következik ebből, hogy minden beszámítható páciens, akár önként kezelteti magát, akár akarata ellenére vitték be, meg kell kapja a lehetőséget a kezelés vagy bármely más orvosi beavatkozás visszautasítására. Bármilyen kivételt ezen alapelv alól csak jogszabály alapján lehet tenni, és ilyen esetben is csak világosan és szigorúan meghatározott körülményekre lehet érvényes.” (CPT/Inf (98) 12. 41. bekezdés).</w:t>
      </w:r>
    </w:p>
  </w:footnote>
  <w:footnote w:id="65">
    <w:p w14:paraId="37496BCD" w14:textId="77777777" w:rsidR="002D0384" w:rsidRPr="000D5AB9" w:rsidRDefault="002D0384" w:rsidP="00E410C5">
      <w:pPr>
        <w:pStyle w:val="Lbjegyzetszveg"/>
        <w:rPr>
          <w:rFonts w:cs="Times New Roman"/>
        </w:rPr>
      </w:pPr>
      <w:r w:rsidRPr="000D5AB9">
        <w:rPr>
          <w:rStyle w:val="Lbjegyzet-hivatkozs"/>
          <w:rFonts w:cs="Times New Roman"/>
        </w:rPr>
        <w:footnoteRef/>
      </w:r>
      <w:r w:rsidRPr="000D5AB9">
        <w:rPr>
          <w:rFonts w:cs="Times New Roman"/>
        </w:rPr>
        <w:t xml:space="preserve"> </w:t>
      </w:r>
      <w:r w:rsidRPr="000D5AB9">
        <w:rPr>
          <w:rFonts w:cs="Times New Roman"/>
          <w:bCs/>
        </w:rPr>
        <w:t>A CRPD 2008. május 3-án lépett hatályba.</w:t>
      </w:r>
    </w:p>
  </w:footnote>
  <w:footnote w:id="66">
    <w:p w14:paraId="16B9627B"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Kiemelés tőlem: G.S.</w:t>
      </w:r>
    </w:p>
  </w:footnote>
  <w:footnote w:id="67">
    <w:p w14:paraId="6103B557"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Kiemelés tőlem: G.S.</w:t>
      </w:r>
    </w:p>
  </w:footnote>
  <w:footnote w:id="68">
    <w:p w14:paraId="6650AE55"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A CRPD 25. cikke és a nem-önkéntes pszichiátriai kezelések vonatkozásában lásd: Tina MINKOWITZ: The United Nations Convention of the Rights of Persons with Disabilities and the Right to be Free from Nonconsensual Psychiatric Interventions. </w:t>
      </w:r>
      <w:r w:rsidRPr="000D5AB9">
        <w:rPr>
          <w:rFonts w:cs="Times New Roman"/>
          <w:i/>
          <w:lang w:val="en-US"/>
        </w:rPr>
        <w:t>Syracuse Journal of international law and commerce</w:t>
      </w:r>
      <w:r w:rsidRPr="000D5AB9">
        <w:rPr>
          <w:rFonts w:cs="Times New Roman"/>
          <w:lang w:val="en-US"/>
        </w:rPr>
        <w:t xml:space="preserve">, Vol 34, 2007. 405-408. [a </w:t>
      </w:r>
      <w:proofErr w:type="spellStart"/>
      <w:r w:rsidRPr="000D5AB9">
        <w:rPr>
          <w:rFonts w:cs="Times New Roman"/>
          <w:lang w:val="en-US"/>
        </w:rPr>
        <w:t>továbbiakban</w:t>
      </w:r>
      <w:proofErr w:type="spellEnd"/>
      <w:r w:rsidRPr="000D5AB9">
        <w:rPr>
          <w:rFonts w:cs="Times New Roman"/>
          <w:lang w:val="en-US"/>
        </w:rPr>
        <w:t>:</w:t>
      </w:r>
      <w:r w:rsidRPr="000D5AB9">
        <w:rPr>
          <w:rFonts w:cs="Times New Roman"/>
        </w:rPr>
        <w:t xml:space="preserve"> MINKOWITZ (2007)</w:t>
      </w:r>
      <w:r w:rsidRPr="000D5AB9">
        <w:rPr>
          <w:rFonts w:cs="Times New Roman"/>
          <w:lang w:val="en-US"/>
        </w:rPr>
        <w:t>].</w:t>
      </w:r>
    </w:p>
  </w:footnote>
  <w:footnote w:id="69">
    <w:p w14:paraId="403CEA04"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Manfred NOWAK, az ENSZ kínzás elleni küzdelemmel foglalkozó különleges jelentéstevője 2008. évi A/63/175. számú időközi jelentése (Manfred Nowak: Interim report of the Special Rapporteur on torture and other cruel, inhuman or degrading treatment or punishment, 28 July 2008, A/63/175.) [a továbbiakban: A/63/175.];</w:t>
      </w:r>
    </w:p>
  </w:footnote>
  <w:footnote w:id="70">
    <w:p w14:paraId="7BEA6DF2" w14:textId="564C8909" w:rsidR="002D0384" w:rsidRPr="000D5AB9" w:rsidRDefault="002D0384" w:rsidP="007451C4">
      <w:pPr>
        <w:pStyle w:val="Lbjegyzetszveg"/>
        <w:rPr>
          <w:rFonts w:cs="Times New Roman"/>
        </w:rPr>
      </w:pPr>
      <w:r w:rsidRPr="000D5AB9">
        <w:rPr>
          <w:rStyle w:val="Lbjegyzet-hivatkozs"/>
          <w:rFonts w:cs="Times New Roman"/>
        </w:rPr>
        <w:footnoteRef/>
      </w:r>
      <w:r>
        <w:rPr>
          <w:rFonts w:cs="Times New Roman"/>
        </w:rPr>
        <w:t xml:space="preserve"> Uo. 64. bekezdés.</w:t>
      </w:r>
    </w:p>
  </w:footnote>
  <w:footnote w:id="71">
    <w:p w14:paraId="5ECB9366" w14:textId="0C51F2A1" w:rsidR="002D0384" w:rsidRDefault="002D0384">
      <w:pPr>
        <w:pStyle w:val="Lbjegyzetszveg"/>
      </w:pPr>
      <w:r>
        <w:rPr>
          <w:rStyle w:val="Lbjegyzet-hivatkozs"/>
        </w:rPr>
        <w:footnoteRef/>
      </w:r>
      <w:r>
        <w:t xml:space="preserve"> </w:t>
      </w:r>
      <w:r w:rsidRPr="00D72E9F">
        <w:t xml:space="preserve">Juan E. MÉNDEZ: </w:t>
      </w:r>
      <w:proofErr w:type="spellStart"/>
      <w:r w:rsidRPr="00D72E9F">
        <w:t>Introduction</w:t>
      </w:r>
      <w:proofErr w:type="spellEnd"/>
      <w:r w:rsidRPr="00D72E9F">
        <w:t xml:space="preserve">. </w:t>
      </w:r>
      <w:proofErr w:type="spellStart"/>
      <w:r w:rsidRPr="00D72E9F">
        <w:t>In</w:t>
      </w:r>
      <w:proofErr w:type="spellEnd"/>
      <w:r w:rsidRPr="00D72E9F">
        <w:t xml:space="preserve">: </w:t>
      </w:r>
      <w:r w:rsidRPr="00D72E9F">
        <w:rPr>
          <w:i/>
          <w:iCs/>
          <w:lang w:val="en-GB"/>
        </w:rPr>
        <w:t>Torture in health-care settings: reflection on the Special Rapporteur on Torture’s 2013 thematic report.</w:t>
      </w:r>
      <w:r w:rsidRPr="00D72E9F">
        <w:rPr>
          <w:iCs/>
          <w:lang w:val="en-GB"/>
        </w:rPr>
        <w:t xml:space="preserve"> </w:t>
      </w:r>
      <w:proofErr w:type="spellStart"/>
      <w:proofErr w:type="gramStart"/>
      <w:r w:rsidRPr="00D72E9F">
        <w:rPr>
          <w:iCs/>
          <w:lang w:val="en-GB"/>
        </w:rPr>
        <w:t>Center</w:t>
      </w:r>
      <w:proofErr w:type="spellEnd"/>
      <w:r w:rsidRPr="00D72E9F">
        <w:rPr>
          <w:iCs/>
          <w:lang w:val="en-GB"/>
        </w:rPr>
        <w:t xml:space="preserve"> for Human Rights and Humanitarian Law.</w:t>
      </w:r>
      <w:proofErr w:type="gramEnd"/>
      <w:r w:rsidRPr="00D72E9F">
        <w:rPr>
          <w:iCs/>
          <w:lang w:val="en-GB"/>
        </w:rPr>
        <w:t xml:space="preserve"> 2013.</w:t>
      </w:r>
      <w:r w:rsidRPr="00D72E9F">
        <w:t xml:space="preserve">  </w:t>
      </w:r>
      <w:proofErr w:type="spellStart"/>
      <w:proofErr w:type="gramStart"/>
      <w:r w:rsidRPr="00D72E9F">
        <w:t>xix</w:t>
      </w:r>
      <w:proofErr w:type="spellEnd"/>
      <w:proofErr w:type="gramEnd"/>
      <w:r w:rsidRPr="00D72E9F">
        <w:t>.</w:t>
      </w:r>
    </w:p>
  </w:footnote>
  <w:footnote w:id="72">
    <w:p w14:paraId="6B88DC97" w14:textId="77777777" w:rsidR="002D0384" w:rsidRPr="000D5AB9" w:rsidRDefault="002D0384" w:rsidP="003E0B2B">
      <w:pPr>
        <w:pStyle w:val="Lbjegyzetszveg"/>
        <w:rPr>
          <w:rFonts w:cs="Times New Roman"/>
        </w:rPr>
      </w:pPr>
      <w:r w:rsidRPr="000D5AB9">
        <w:rPr>
          <w:rStyle w:val="Lbjegyzet-hivatkozs"/>
          <w:rFonts w:cs="Times New Roman"/>
        </w:rPr>
        <w:footnoteRef/>
      </w:r>
      <w:r w:rsidRPr="000D5AB9">
        <w:rPr>
          <w:rFonts w:cs="Times New Roman"/>
        </w:rPr>
        <w:t xml:space="preserve"> UN Human </w:t>
      </w:r>
      <w:proofErr w:type="spellStart"/>
      <w:r w:rsidRPr="000D5AB9">
        <w:rPr>
          <w:rFonts w:cs="Times New Roman"/>
        </w:rPr>
        <w:t>Rights</w:t>
      </w:r>
      <w:proofErr w:type="spellEnd"/>
      <w:r w:rsidRPr="000D5AB9">
        <w:rPr>
          <w:rFonts w:cs="Times New Roman"/>
        </w:rPr>
        <w:t xml:space="preserve"> </w:t>
      </w:r>
      <w:proofErr w:type="spellStart"/>
      <w:r w:rsidRPr="000D5AB9">
        <w:rPr>
          <w:rFonts w:cs="Times New Roman"/>
        </w:rPr>
        <w:t>Committee</w:t>
      </w:r>
      <w:proofErr w:type="spellEnd"/>
      <w:r w:rsidRPr="000D5AB9">
        <w:rPr>
          <w:rFonts w:cs="Times New Roman"/>
        </w:rPr>
        <w:t xml:space="preserve">: </w:t>
      </w:r>
      <w:r w:rsidRPr="0048127A">
        <w:rPr>
          <w:rFonts w:cs="Times New Roman"/>
          <w:i/>
        </w:rPr>
        <w:t xml:space="preserve">General </w:t>
      </w:r>
      <w:proofErr w:type="gramStart"/>
      <w:r w:rsidRPr="0048127A">
        <w:rPr>
          <w:rFonts w:cs="Times New Roman"/>
          <w:i/>
        </w:rPr>
        <w:t>Comment</w:t>
      </w:r>
      <w:proofErr w:type="gramEnd"/>
      <w:r w:rsidRPr="0048127A">
        <w:rPr>
          <w:rFonts w:cs="Times New Roman"/>
          <w:i/>
        </w:rPr>
        <w:t xml:space="preserve"> No. 35, </w:t>
      </w:r>
      <w:r w:rsidRPr="0048127A">
        <w:rPr>
          <w:rFonts w:cs="Times New Roman"/>
          <w:i/>
        </w:rPr>
        <w:tab/>
        <w:t>Article 9</w:t>
      </w:r>
      <w:r w:rsidRPr="000D5AB9">
        <w:rPr>
          <w:rFonts w:cs="Times New Roman"/>
        </w:rPr>
        <w:t xml:space="preserve"> (Liberty and security of person). CCPR/C/GC/35. 19. bekezdés. Közzétéve: 2014. december 16. Kiemelés tőlem: G.S.</w:t>
      </w:r>
    </w:p>
  </w:footnote>
  <w:footnote w:id="73">
    <w:p w14:paraId="7C837A79"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Az ENSZ Emberi Jogi Bizottsága és a CRPD Bizottság álláspontja közötti kollízió feloldásával kapcsolatosan példaként szolgálhat a választójog területéről: GURBAI Sándor: A gondnokság alá helyezett fogyatékossággal élő személyek választójogi szabályozásának anomáliái és egy megoldási javaslat. In: </w:t>
      </w:r>
      <w:r w:rsidRPr="000D5AB9">
        <w:rPr>
          <w:rFonts w:cs="Times New Roman"/>
          <w:i/>
        </w:rPr>
        <w:t>A felelt kérdései között. Fogyatékosságtudomány Magyarországon</w:t>
      </w:r>
      <w:r w:rsidRPr="000D5AB9">
        <w:rPr>
          <w:rFonts w:cs="Times New Roman"/>
        </w:rPr>
        <w:t xml:space="preserve"> (Szerk: HERNÁDI Ilona – KÖNCZEI György). Budapest, ELTE Bárczi Gusztáv Gyógypedagógiai Kar. 2015.</w:t>
      </w:r>
    </w:p>
  </w:footnote>
  <w:footnote w:id="74">
    <w:p w14:paraId="5AFE6A44" w14:textId="77777777" w:rsidR="002D0384" w:rsidRPr="000D5AB9" w:rsidRDefault="002D0384" w:rsidP="005A4394">
      <w:pPr>
        <w:pStyle w:val="Lbjegyzetszveg"/>
        <w:rPr>
          <w:rFonts w:cs="Times New Roman"/>
        </w:rPr>
      </w:pPr>
      <w:r w:rsidRPr="000D5AB9">
        <w:rPr>
          <w:rStyle w:val="Lbjegyzet-hivatkozs"/>
          <w:rFonts w:cs="Times New Roman"/>
        </w:rPr>
        <w:footnoteRef/>
      </w:r>
      <w:r w:rsidRPr="000D5AB9">
        <w:rPr>
          <w:rFonts w:cs="Times New Roman"/>
        </w:rPr>
        <w:t xml:space="preserve"> Az ENSZ Fogyatékossággal élő személyek jogainak bizottsága: </w:t>
      </w:r>
      <w:r w:rsidRPr="000D5AB9">
        <w:rPr>
          <w:rFonts w:cs="Times New Roman"/>
          <w:i/>
        </w:rPr>
        <w:t xml:space="preserve">A Fogyatékossággal élő személyek jogairól szóló ENSZ Egyezmény 14. cikkére vonatkozó iránymutatás, </w:t>
      </w:r>
      <w:r w:rsidRPr="000D5AB9">
        <w:rPr>
          <w:rFonts w:cs="Times New Roman"/>
          <w:bCs/>
          <w:i/>
        </w:rPr>
        <w:t>a fogyatékossággal élő személyek személyi szabadsághoz és biztonsághoz való joga.</w:t>
      </w:r>
      <w:r w:rsidRPr="000D5AB9">
        <w:rPr>
          <w:rFonts w:cs="Times New Roman"/>
        </w:rPr>
        <w:t xml:space="preserve"> (UN Committee on the Rights of Persons with Disabilities: </w:t>
      </w:r>
      <w:r w:rsidRPr="000D5AB9">
        <w:rPr>
          <w:rFonts w:cs="Times New Roman"/>
          <w:i/>
        </w:rPr>
        <w:t>Guidelines on Article 14 of the Convention on the Rights of Persons with Disabilities).</w:t>
      </w:r>
      <w:r w:rsidRPr="000D5AB9">
        <w:rPr>
          <w:rFonts w:cs="Times New Roman"/>
        </w:rPr>
        <w:t xml:space="preserve"> Geneva, September 2015. 6. [a továbbiakban: Guidelines].</w:t>
      </w:r>
    </w:p>
    <w:p w14:paraId="6D3FABB6" w14:textId="77777777" w:rsidR="002D0384" w:rsidRPr="000D5AB9" w:rsidRDefault="002D0384" w:rsidP="005A4394">
      <w:pPr>
        <w:pStyle w:val="Lbjegyzetszveg"/>
        <w:rPr>
          <w:rFonts w:cs="Times New Roman"/>
        </w:rPr>
      </w:pPr>
      <w:r w:rsidRPr="000D5AB9">
        <w:rPr>
          <w:rFonts w:cs="Times New Roman"/>
        </w:rPr>
        <w:t xml:space="preserve">Vö.: CRPD Bizottság: </w:t>
      </w:r>
      <w:r w:rsidRPr="000D5AB9">
        <w:rPr>
          <w:rFonts w:cs="Times New Roman"/>
          <w:i/>
        </w:rPr>
        <w:t>A Fogyatékossággal élő személyek jogairól szóló ENSZ Egyezmény 14. cikkére vonatkozó nyilatkozat</w:t>
      </w:r>
      <w:r w:rsidRPr="000D5AB9">
        <w:rPr>
          <w:rFonts w:cs="Times New Roman"/>
        </w:rPr>
        <w:t xml:space="preserve"> (UN Committee on the Rights of Persons with Disabilities: </w:t>
      </w:r>
      <w:r w:rsidRPr="000D5AB9">
        <w:rPr>
          <w:rFonts w:cs="Times New Roman"/>
          <w:i/>
        </w:rPr>
        <w:t>Statement on article 14 of the Convention on the Rights of Persons with Disabilities).</w:t>
      </w:r>
      <w:r w:rsidRPr="000D5AB9">
        <w:rPr>
          <w:rFonts w:cs="Times New Roman"/>
        </w:rPr>
        <w:t xml:space="preserve"> Geneva, September 2014. CRPD/C12/2, Ann</w:t>
      </w:r>
      <w:r>
        <w:rPr>
          <w:rFonts w:cs="Times New Roman"/>
        </w:rPr>
        <w:t>ex IV). 1. Kiemelés tőlem: G.S.</w:t>
      </w:r>
    </w:p>
  </w:footnote>
  <w:footnote w:id="75">
    <w:p w14:paraId="3EAB4C5E"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Guidelines 7. Lásd továbbá, például: CRPD/C/KOR/CO/1, 29. bekezdés; CRPD/C/DOM/CO/1, 27. bekezdés; CRPD/C/AUT/CO/1, 30. bekezdés. Ezen záró észrevételekben a CRPD Bizottság felszólította a részes államokat, hogy helyezzék hatályon kívül azokat a jogszabályi rendelkezéseket, amelyek fogyatékossággal élő személyek nem-önkéntes elme-egészségügyi intézményekben (pszichiátriai osztályokon) történő elhelyezését valamely valós vagy vélt károsodásuk miatt lehetővé teszik.</w:t>
      </w:r>
    </w:p>
  </w:footnote>
  <w:footnote w:id="76">
    <w:p w14:paraId="4C9D97AD"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Shuaib CHALKLEN, UN Special Rapporteur on Disability: </w:t>
      </w:r>
      <w:r w:rsidRPr="000D5AB9">
        <w:rPr>
          <w:rFonts w:cs="Times New Roman"/>
          <w:i/>
        </w:rPr>
        <w:t>Urgent request to amend the Human Rights Committee’s draft version of General Comment No. 35 (CCPR/C/107/R.3) on Article 9 (Right to liberty and security of person) bringing it in line with the UN Convention on the Rights of Persons with Disabilities</w:t>
      </w:r>
      <w:r>
        <w:rPr>
          <w:rFonts w:cs="Times New Roman"/>
        </w:rPr>
        <w:t>. 2014. május 27.</w:t>
      </w:r>
    </w:p>
  </w:footnote>
  <w:footnote w:id="77">
    <w:p w14:paraId="54D0A668"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CEDAW Committee Concluding Observations on India, CEDAW/C/IND/CO/4-5, 2014,  37. bekezdés  </w:t>
      </w:r>
    </w:p>
  </w:footnote>
  <w:footnote w:id="78">
    <w:p w14:paraId="638CC676" w14:textId="77777777" w:rsidR="002D0384" w:rsidRPr="000D5AB9" w:rsidRDefault="002D0384" w:rsidP="007451C4">
      <w:pPr>
        <w:pStyle w:val="Lbjegyzetszveg"/>
        <w:rPr>
          <w:rFonts w:cs="Times New Roman"/>
        </w:rPr>
      </w:pPr>
      <w:r w:rsidRPr="000D5AB9">
        <w:rPr>
          <w:rStyle w:val="Lbjegyzet-hivatkozs"/>
          <w:rFonts w:cs="Times New Roman"/>
        </w:rPr>
        <w:footnoteRef/>
      </w:r>
      <w:r w:rsidRPr="000D5AB9">
        <w:rPr>
          <w:rFonts w:cs="Times New Roman"/>
        </w:rPr>
        <w:t xml:space="preserve"> Guidelines 13; CRPD/C12/2, Annex IV. 2. pont. </w:t>
      </w:r>
    </w:p>
  </w:footnote>
  <w:footnote w:id="79">
    <w:p w14:paraId="2AA67F2D" w14:textId="77777777" w:rsidR="002D0384" w:rsidRPr="000D5AB9" w:rsidRDefault="002D0384" w:rsidP="00DB31DB">
      <w:pPr>
        <w:pStyle w:val="Lbjegyzetszveg"/>
        <w:rPr>
          <w:rFonts w:cs="Times New Roman"/>
        </w:rPr>
      </w:pPr>
      <w:r w:rsidRPr="000D5AB9">
        <w:rPr>
          <w:rStyle w:val="Lbjegyzet-hivatkozs"/>
          <w:rFonts w:cs="Times New Roman"/>
        </w:rPr>
        <w:footnoteRef/>
      </w:r>
      <w:r w:rsidRPr="000D5AB9">
        <w:rPr>
          <w:rFonts w:cs="Times New Roman"/>
        </w:rPr>
        <w:t xml:space="preserve"> KOVÁCS József: </w:t>
      </w:r>
      <w:r w:rsidRPr="000D5AB9">
        <w:rPr>
          <w:rFonts w:cs="Times New Roman"/>
          <w:i/>
        </w:rPr>
        <w:t>Bioetikai kérdések a pszichiátriában és a pszichoterápiában</w:t>
      </w:r>
      <w:r w:rsidRPr="000D5AB9">
        <w:rPr>
          <w:rFonts w:cs="Times New Roman"/>
        </w:rPr>
        <w:t xml:space="preserve">. Budapest, Medicina, 2007. 351. [a továbbiakban: KOVÁCS (2007)]. Vö.: Allen E. BUCHANAN – Dan W. BROCK: </w:t>
      </w:r>
      <w:r w:rsidRPr="000D5AB9">
        <w:rPr>
          <w:rFonts w:cs="Times New Roman"/>
          <w:i/>
        </w:rPr>
        <w:t>Deciding for others: The etics of Surrogate Decision making</w:t>
      </w:r>
      <w:r w:rsidRPr="000D5AB9">
        <w:rPr>
          <w:rFonts w:cs="Times New Roman"/>
        </w:rPr>
        <w:t>. Cambridge, Cambridge University Press, 1989. 330-331.</w:t>
      </w:r>
    </w:p>
  </w:footnote>
  <w:footnote w:id="80">
    <w:p w14:paraId="5069A0D0"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w:t>
      </w:r>
    </w:p>
  </w:footnote>
  <w:footnote w:id="81">
    <w:p w14:paraId="7F4B1FA1"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A magyar gyakorlattal összefüggésben lásd: Társaság a Szabadságjogokért: </w:t>
      </w:r>
      <w:r w:rsidRPr="000D5AB9">
        <w:rPr>
          <w:rFonts w:cs="Times New Roman"/>
          <w:i/>
        </w:rPr>
        <w:t>Joghalál a törvényben: A fogyatékos személyek bármikor megfoszthatók önrendelkezési joguktól</w:t>
      </w:r>
      <w:r>
        <w:rPr>
          <w:rFonts w:cs="Times New Roman"/>
        </w:rPr>
        <w:t>. 2014.</w:t>
      </w:r>
    </w:p>
  </w:footnote>
  <w:footnote w:id="82">
    <w:p w14:paraId="00095C0D" w14:textId="46D70CAD"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Vö. 1.</w:t>
      </w:r>
      <w:r w:rsidR="001D1FC2">
        <w:rPr>
          <w:rFonts w:cs="Times New Roman"/>
        </w:rPr>
        <w:t>1.1. feje</w:t>
      </w:r>
      <w:r w:rsidRPr="000D5AB9">
        <w:rPr>
          <w:rFonts w:cs="Times New Roman"/>
        </w:rPr>
        <w:t>zet</w:t>
      </w:r>
      <w:r w:rsidR="001D1FC2">
        <w:rPr>
          <w:rFonts w:cs="Times New Roman"/>
        </w:rPr>
        <w:t>tel.</w:t>
      </w:r>
    </w:p>
  </w:footnote>
  <w:footnote w:id="83">
    <w:p w14:paraId="021D1C3E" w14:textId="77777777" w:rsidR="002D0384" w:rsidRPr="000D5AB9" w:rsidRDefault="002D0384" w:rsidP="00F366BB">
      <w:pPr>
        <w:pStyle w:val="Lbjegyzetszveg"/>
        <w:rPr>
          <w:rFonts w:cs="Times New Roman"/>
        </w:rPr>
      </w:pPr>
      <w:r w:rsidRPr="000D5AB9">
        <w:rPr>
          <w:rStyle w:val="Lbjegyzet-hivatkozs"/>
          <w:rFonts w:cs="Times New Roman"/>
        </w:rPr>
        <w:footnoteRef/>
      </w:r>
      <w:r w:rsidRPr="000D5AB9">
        <w:rPr>
          <w:rFonts w:cs="Times New Roman"/>
        </w:rPr>
        <w:t xml:space="preserve"> UN Committee on the Rights of Persons with Disabilities: </w:t>
      </w:r>
      <w:r w:rsidRPr="000D5AB9">
        <w:rPr>
          <w:rFonts w:cs="Times New Roman"/>
          <w:i/>
        </w:rPr>
        <w:t xml:space="preserve">General </w:t>
      </w:r>
      <w:proofErr w:type="gramStart"/>
      <w:r w:rsidRPr="000D5AB9">
        <w:rPr>
          <w:rFonts w:cs="Times New Roman"/>
          <w:i/>
        </w:rPr>
        <w:t>Comment</w:t>
      </w:r>
      <w:proofErr w:type="gramEnd"/>
      <w:r w:rsidRPr="000D5AB9">
        <w:rPr>
          <w:rFonts w:cs="Times New Roman"/>
          <w:i/>
        </w:rPr>
        <w:t xml:space="preserve"> No. 1 on Article 12: Equal recognition before the law.</w:t>
      </w:r>
      <w:r w:rsidRPr="000D5AB9">
        <w:rPr>
          <w:rFonts w:cs="Times New Roman"/>
        </w:rPr>
        <w:t xml:space="preserve"> Közzétéve: 2014. május 19. CRPD/C/GC/1. 40. bekezdés. [a továbbiakban: CRPD/C/GC/1.]; Guidelines 8.</w:t>
      </w:r>
    </w:p>
  </w:footnote>
  <w:footnote w:id="84">
    <w:p w14:paraId="31D12EDF"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Vö.: Guidelines 10.</w:t>
      </w:r>
    </w:p>
  </w:footnote>
  <w:footnote w:id="85">
    <w:p w14:paraId="40FFF8EC" w14:textId="77777777" w:rsidR="002D0384" w:rsidRPr="000D5AB9" w:rsidRDefault="002D0384" w:rsidP="007451C4">
      <w:pPr>
        <w:pStyle w:val="Lbjegyzetszveg"/>
        <w:rPr>
          <w:rFonts w:cs="Times New Roman"/>
          <w:bCs/>
        </w:rPr>
      </w:pPr>
      <w:r w:rsidRPr="000D5AB9">
        <w:rPr>
          <w:rStyle w:val="Lbjegyzet-hivatkozs"/>
          <w:rFonts w:cs="Times New Roman"/>
        </w:rPr>
        <w:footnoteRef/>
      </w:r>
      <w:r w:rsidRPr="000D5AB9">
        <w:rPr>
          <w:rFonts w:cs="Times New Roman"/>
        </w:rPr>
        <w:t xml:space="preserve"> CRPD/C/GC/1. 41. bekezdés. Kiemelés tőlem: G.S.</w:t>
      </w:r>
    </w:p>
  </w:footnote>
  <w:footnote w:id="86">
    <w:p w14:paraId="36FD4A2E"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Lásd pl.: CRPD/C/PER/CO/1, 30-31. bekezdés; CRPD/C/HRV/CO/1, 24. bekezdés; CRPD/C/TKM/CO/, 32. bekezdés; CRPD/C/DOM/CO/1, 31. bekezdés; CRPD/C/SLV/CO/1, 33-34. bekezdés; CRPD/C/SWE/CO/1, </w:t>
      </w:r>
      <w:r w:rsidRPr="000D5AB9">
        <w:rPr>
          <w:rFonts w:cs="Times New Roman"/>
          <w:lang w:val="es-ES"/>
        </w:rPr>
        <w:t xml:space="preserve">37-38. bekezdés; CRPD/C/NZL/1, 32. bekezdés; CRPD/C/AUS/CO/1, </w:t>
      </w:r>
      <w:r w:rsidRPr="000D5AB9">
        <w:rPr>
          <w:rFonts w:cs="Times New Roman"/>
        </w:rPr>
        <w:t>36. bekezdés.</w:t>
      </w:r>
    </w:p>
  </w:footnote>
  <w:footnote w:id="87">
    <w:p w14:paraId="2E139563"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Guidelines 12.</w:t>
      </w:r>
    </w:p>
  </w:footnote>
  <w:footnote w:id="88">
    <w:p w14:paraId="4056C62A" w14:textId="77777777" w:rsidR="002D0384" w:rsidRPr="000D5AB9" w:rsidRDefault="002D0384" w:rsidP="008D252D">
      <w:pPr>
        <w:pStyle w:val="Lbjegyzetszveg"/>
        <w:rPr>
          <w:rFonts w:cs="Times New Roman"/>
        </w:rPr>
      </w:pPr>
      <w:r w:rsidRPr="000D5AB9">
        <w:rPr>
          <w:rStyle w:val="Lbjegyzet-hivatkozs"/>
          <w:rFonts w:cs="Times New Roman"/>
        </w:rPr>
        <w:footnoteRef/>
      </w:r>
      <w:r w:rsidRPr="000D5AB9">
        <w:rPr>
          <w:rFonts w:cs="Times New Roman"/>
        </w:rPr>
        <w:t xml:space="preserve"> Magyarországon kihirdette az 1988. évi 3. tvr.</w:t>
      </w:r>
    </w:p>
  </w:footnote>
  <w:footnote w:id="89">
    <w:p w14:paraId="5BFD12DF" w14:textId="77777777" w:rsidR="002D0384" w:rsidRPr="000D5AB9" w:rsidRDefault="002D0384" w:rsidP="008D252D">
      <w:pPr>
        <w:pStyle w:val="Lbjegyzetszveg"/>
        <w:rPr>
          <w:rFonts w:cs="Times New Roman"/>
        </w:rPr>
      </w:pPr>
      <w:r w:rsidRPr="000D5AB9">
        <w:rPr>
          <w:rStyle w:val="Lbjegyzet-hivatkozs"/>
          <w:rFonts w:cs="Times New Roman"/>
        </w:rPr>
        <w:footnoteRef/>
      </w:r>
      <w:r w:rsidRPr="000D5AB9">
        <w:rPr>
          <w:rFonts w:cs="Times New Roman"/>
        </w:rPr>
        <w:t xml:space="preserve"> A/63/175. 64-65. bekezdés.</w:t>
      </w:r>
    </w:p>
  </w:footnote>
  <w:footnote w:id="90">
    <w:p w14:paraId="16C9D825" w14:textId="77777777" w:rsidR="002D0384" w:rsidRPr="000D5AB9" w:rsidRDefault="002D0384" w:rsidP="008D252D">
      <w:pPr>
        <w:pStyle w:val="Lbjegyzetszveg"/>
        <w:rPr>
          <w:rFonts w:cs="Times New Roman"/>
        </w:rPr>
      </w:pPr>
      <w:r w:rsidRPr="000D5AB9">
        <w:rPr>
          <w:rStyle w:val="Lbjegyzet-hivatkozs"/>
          <w:rFonts w:cs="Times New Roman"/>
        </w:rPr>
        <w:footnoteRef/>
      </w:r>
      <w:r w:rsidRPr="000D5AB9">
        <w:rPr>
          <w:rFonts w:cs="Times New Roman"/>
        </w:rPr>
        <w:t xml:space="preserve"> Uo. 75. bekezdés.</w:t>
      </w:r>
    </w:p>
  </w:footnote>
  <w:footnote w:id="91">
    <w:p w14:paraId="5875C2D4"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Lásd CRPD 16. cikk 3. bekezdését,  33. cikk 2-3. bekezdését és a Guidelines 13. bekezdését.</w:t>
      </w:r>
    </w:p>
  </w:footnote>
  <w:footnote w:id="92">
    <w:p w14:paraId="38C0327B"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proofErr w:type="spellStart"/>
      <w:r w:rsidRPr="000D5AB9">
        <w:rPr>
          <w:rFonts w:cs="Times New Roman"/>
        </w:rPr>
        <w:t>Working</w:t>
      </w:r>
      <w:proofErr w:type="spellEnd"/>
      <w:r w:rsidRPr="000D5AB9">
        <w:rPr>
          <w:rFonts w:cs="Times New Roman"/>
        </w:rPr>
        <w:t xml:space="preserve"> Group </w:t>
      </w:r>
      <w:proofErr w:type="spellStart"/>
      <w:r w:rsidRPr="000D5AB9">
        <w:rPr>
          <w:rFonts w:cs="Times New Roman"/>
        </w:rPr>
        <w:t>on</w:t>
      </w:r>
      <w:proofErr w:type="spellEnd"/>
      <w:r w:rsidRPr="000D5AB9">
        <w:rPr>
          <w:rFonts w:cs="Times New Roman"/>
        </w:rPr>
        <w:t xml:space="preserve"> </w:t>
      </w:r>
      <w:proofErr w:type="spellStart"/>
      <w:r w:rsidRPr="000D5AB9">
        <w:rPr>
          <w:rFonts w:cs="Times New Roman"/>
        </w:rPr>
        <w:t>Arbitrary</w:t>
      </w:r>
      <w:proofErr w:type="spellEnd"/>
      <w:r w:rsidRPr="000D5AB9">
        <w:rPr>
          <w:rFonts w:cs="Times New Roman"/>
        </w:rPr>
        <w:t xml:space="preserve"> </w:t>
      </w:r>
      <w:proofErr w:type="spellStart"/>
      <w:r w:rsidRPr="000D5AB9">
        <w:rPr>
          <w:rFonts w:cs="Times New Roman"/>
        </w:rPr>
        <w:t>Detention</w:t>
      </w:r>
      <w:proofErr w:type="spellEnd"/>
      <w:r w:rsidRPr="000D5AB9">
        <w:rPr>
          <w:rFonts w:cs="Times New Roman"/>
        </w:rPr>
        <w:t>.</w:t>
      </w:r>
    </w:p>
  </w:footnote>
  <w:footnote w:id="93">
    <w:p w14:paraId="405D6F00"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Basic Principles and Guidelines on Remedies and Procedures on the Right of Anyone Deprived of His or Her Liberty by Arrest or Detention to Bring Proceedings Before Court (A/HRC/30/37) Közzétéve: 2015. július 6-án.</w:t>
      </w:r>
    </w:p>
  </w:footnote>
  <w:footnote w:id="94">
    <w:p w14:paraId="5B78366E"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107. bekezdés (d) pont.</w:t>
      </w:r>
    </w:p>
  </w:footnote>
  <w:footnote w:id="95">
    <w:p w14:paraId="2DCCF53A"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107. bekezdés (e) pont.</w:t>
      </w:r>
    </w:p>
  </w:footnote>
  <w:footnote w:id="96">
    <w:p w14:paraId="2AE86EB0"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w:t>
      </w:r>
    </w:p>
  </w:footnote>
  <w:footnote w:id="97">
    <w:p w14:paraId="6DE285D8" w14:textId="77777777" w:rsidR="002D0384" w:rsidRPr="000D5AB9" w:rsidRDefault="002D0384" w:rsidP="00B2155C">
      <w:pPr>
        <w:pStyle w:val="Lbjegyzetszveg"/>
        <w:rPr>
          <w:rFonts w:cs="Times New Roman"/>
        </w:rPr>
      </w:pPr>
      <w:r w:rsidRPr="000D5AB9">
        <w:rPr>
          <w:rStyle w:val="Lbjegyzet-hivatkozs"/>
          <w:rFonts w:cs="Times New Roman"/>
        </w:rPr>
        <w:footnoteRef/>
      </w:r>
      <w:r w:rsidRPr="000D5AB9">
        <w:rPr>
          <w:rFonts w:cs="Times New Roman"/>
        </w:rPr>
        <w:t xml:space="preserve"> Uo. (f) pont.</w:t>
      </w:r>
    </w:p>
  </w:footnote>
  <w:footnote w:id="98">
    <w:p w14:paraId="26471A75"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Emberi Jogok Európai Egyezménye 5. cikk 1. e) pont.</w:t>
      </w:r>
    </w:p>
  </w:footnote>
  <w:footnote w:id="99">
    <w:p w14:paraId="10CED013" w14:textId="522C54B2"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Lásd pl.: </w:t>
      </w:r>
      <w:proofErr w:type="spellStart"/>
      <w:r>
        <w:rPr>
          <w:rFonts w:cs="Times New Roman"/>
          <w:i/>
        </w:rPr>
        <w:t>Wi</w:t>
      </w:r>
      <w:r w:rsidRPr="000D5AB9">
        <w:rPr>
          <w:rFonts w:cs="Times New Roman"/>
          <w:i/>
        </w:rPr>
        <w:t>nterwerp</w:t>
      </w:r>
      <w:proofErr w:type="spellEnd"/>
      <w:r w:rsidRPr="000D5AB9">
        <w:rPr>
          <w:rFonts w:cs="Times New Roman"/>
          <w:i/>
        </w:rPr>
        <w:t xml:space="preserve"> kontra Hollandia</w:t>
      </w:r>
      <w:r w:rsidRPr="000D5AB9">
        <w:rPr>
          <w:rFonts w:cs="Times New Roman"/>
        </w:rPr>
        <w:t>, Panasz: 6301/73, ítélet: 1979. október 24</w:t>
      </w:r>
      <w:proofErr w:type="gramStart"/>
      <w:r w:rsidRPr="000D5AB9">
        <w:rPr>
          <w:rFonts w:cs="Times New Roman"/>
        </w:rPr>
        <w:t>.;</w:t>
      </w:r>
      <w:proofErr w:type="gramEnd"/>
      <w:r w:rsidRPr="000D5AB9">
        <w:rPr>
          <w:rFonts w:cs="Times New Roman"/>
        </w:rPr>
        <w:t xml:space="preserve"> </w:t>
      </w:r>
      <w:r w:rsidRPr="000D5AB9">
        <w:rPr>
          <w:rFonts w:cs="Times New Roman"/>
          <w:i/>
        </w:rPr>
        <w:t>Herczegfalvy kontra Ausztria</w:t>
      </w:r>
      <w:r w:rsidRPr="000D5AB9">
        <w:rPr>
          <w:rFonts w:cs="Times New Roman"/>
        </w:rPr>
        <w:t xml:space="preserve">, Panasz: 10533/83, ítélet: 1992. szeptember 24.; </w:t>
      </w:r>
      <w:r w:rsidRPr="000D5AB9">
        <w:rPr>
          <w:rFonts w:cs="Times New Roman"/>
          <w:i/>
        </w:rPr>
        <w:t>Varbanov kontra Bulgária</w:t>
      </w:r>
      <w:r w:rsidRPr="000D5AB9">
        <w:rPr>
          <w:rFonts w:cs="Times New Roman"/>
        </w:rPr>
        <w:t xml:space="preserve">, Panasz: 31365/96, ítélet: 2000 Október 5.; </w:t>
      </w:r>
      <w:r w:rsidRPr="000D5AB9">
        <w:rPr>
          <w:rFonts w:cs="Times New Roman"/>
          <w:i/>
        </w:rPr>
        <w:t>Sýkora kontra Cseh Köztársaság</w:t>
      </w:r>
      <w:r w:rsidRPr="000D5AB9">
        <w:rPr>
          <w:rFonts w:cs="Times New Roman"/>
        </w:rPr>
        <w:t>, Panasz: 23419/07, ítélet: 2012. november 22.</w:t>
      </w:r>
    </w:p>
  </w:footnote>
  <w:footnote w:id="100">
    <w:p w14:paraId="69112D03"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Az Európa Tanácsnak az emberi lény emberi jogainak és méltóságának a biológia és az orvostudomány alkalmazására tekintettel történő védelméről szóló, Oviedóban, 1997. április 4-én kelt Egyezménye: Az emberi jogokról és a biomedicináról szóló Egyezmény. Kihirdette a 2002. évi VI. törvény.</w:t>
      </w:r>
    </w:p>
  </w:footnote>
  <w:footnote w:id="101">
    <w:p w14:paraId="52F8AA33" w14:textId="77777777" w:rsidR="002D0384" w:rsidRPr="000D5AB9" w:rsidRDefault="002D0384" w:rsidP="007A7170">
      <w:pPr>
        <w:pStyle w:val="Lbjegyzetszveg"/>
        <w:rPr>
          <w:rFonts w:cs="Times New Roman"/>
        </w:rPr>
      </w:pPr>
      <w:r w:rsidRPr="000D5AB9">
        <w:rPr>
          <w:rStyle w:val="Lbjegyzet-hivatkozs"/>
          <w:rFonts w:cs="Times New Roman"/>
        </w:rPr>
        <w:footnoteRef/>
      </w:r>
      <w:r w:rsidRPr="000D5AB9">
        <w:rPr>
          <w:rFonts w:cs="Times New Roman"/>
        </w:rPr>
        <w:t xml:space="preserve"> „Abban az esetben, ha a törvény szerint, szellemi fogyatékosság, betegség vagy más hasonló ok miatt a nagykorú nem rendelkezik a beavatkozásba való beleegyezés képességével, a beavatkozást csak képviselője, hatóság vagy a törvény által kijelölt személy vagy testület engedélyével lehet végrehajtani. Az érintett személyt a lehetőséghez képest be kell vonni az engedélyezési eljárásba” (6. cikk 3. pont).</w:t>
      </w:r>
    </w:p>
    <w:p w14:paraId="28A645C3" w14:textId="77777777" w:rsidR="002D0384" w:rsidRPr="000D5AB9" w:rsidRDefault="002D0384" w:rsidP="007A7170">
      <w:pPr>
        <w:pStyle w:val="Lbjegyzetszveg"/>
        <w:rPr>
          <w:rFonts w:cs="Times New Roman"/>
        </w:rPr>
      </w:pPr>
      <w:r w:rsidRPr="000D5AB9">
        <w:rPr>
          <w:rFonts w:cs="Times New Roman"/>
        </w:rPr>
        <w:t>„A törvényben meghatározott felügyeleti és ellenőrzési, valamint fellebbezési eljárásokat magában foglaló védelmi feltételek előírják, hogy a súlyos elmezavarban szenvedő személyt beleegyezése nélkül csak abban az esetben lehet olyan beavatkozásnak alávetni, amelynek célja e zavar kezelése, ha a kezelés hiánya az érintett egészségének súlyos károsodásával fenyeget” (7.cikk).</w:t>
      </w:r>
    </w:p>
  </w:footnote>
  <w:footnote w:id="102">
    <w:p w14:paraId="0DCF1E83"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r w:rsidRPr="000D5AB9">
        <w:rPr>
          <w:rFonts w:cs="Times New Roman"/>
          <w:lang w:val="en-US"/>
        </w:rPr>
        <w:t xml:space="preserve">Michael P. Van ALSTINE: Dynamic Treaty Interpretation. </w:t>
      </w:r>
      <w:r w:rsidRPr="000D5AB9">
        <w:rPr>
          <w:rFonts w:cs="Times New Roman"/>
          <w:i/>
          <w:lang w:val="en-US"/>
        </w:rPr>
        <w:t>University of Pennsylvania Law Review</w:t>
      </w:r>
      <w:r w:rsidRPr="000D5AB9">
        <w:rPr>
          <w:rFonts w:cs="Times New Roman"/>
          <w:lang w:val="en-US"/>
        </w:rPr>
        <w:t xml:space="preserve">, Vol 146(3), 1998. 687-793.; William N ESKRIDGE: </w:t>
      </w:r>
      <w:r w:rsidRPr="000D5AB9">
        <w:rPr>
          <w:rFonts w:cs="Times New Roman"/>
          <w:iCs/>
          <w:lang w:val="en-US"/>
        </w:rPr>
        <w:t>Dynamic Statutory Interpretation</w:t>
      </w:r>
      <w:r w:rsidRPr="000D5AB9">
        <w:rPr>
          <w:rFonts w:cs="Times New Roman"/>
          <w:lang w:val="en-US"/>
        </w:rPr>
        <w:t xml:space="preserve">. </w:t>
      </w:r>
      <w:r w:rsidRPr="000D5AB9">
        <w:rPr>
          <w:rFonts w:cs="Times New Roman"/>
          <w:i/>
          <w:lang w:val="en-US"/>
        </w:rPr>
        <w:t>University of Pennsylvania Law Review</w:t>
      </w:r>
      <w:r w:rsidRPr="000D5AB9">
        <w:rPr>
          <w:rFonts w:cs="Times New Roman"/>
          <w:lang w:val="en-US"/>
        </w:rPr>
        <w:t>, Vol 135, 1987. 1479-1555.</w:t>
      </w:r>
    </w:p>
  </w:footnote>
  <w:footnote w:id="103">
    <w:p w14:paraId="5DD244CE"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Ezt a megközelítést tette magáévá a Bíróság, amikor a </w:t>
      </w:r>
      <w:r w:rsidRPr="000D5AB9">
        <w:rPr>
          <w:rFonts w:cs="Times New Roman"/>
          <w:i/>
        </w:rPr>
        <w:t>Glor kontra Svájc</w:t>
      </w:r>
      <w:r w:rsidRPr="000D5AB9">
        <w:rPr>
          <w:rFonts w:cs="Times New Roman"/>
        </w:rPr>
        <w:t xml:space="preserve"> ügyben (Panasz: 13444/04, ítélet: 2009. április 30.) a CRPD-t is alapul véve vizsgálta a fogyatékosságon alapuló hátrányos megkülönböztetés kérdését.</w:t>
      </w:r>
    </w:p>
  </w:footnote>
  <w:footnote w:id="104">
    <w:p w14:paraId="66A67C09" w14:textId="5876D97E"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r w:rsidRPr="000D5AB9">
        <w:rPr>
          <w:rFonts w:cs="Times New Roman"/>
          <w:i/>
          <w:iCs/>
        </w:rPr>
        <w:t>Tyrer kontra Egyesült Királyság</w:t>
      </w:r>
      <w:r w:rsidRPr="000D5AB9">
        <w:rPr>
          <w:rFonts w:cs="Times New Roman"/>
        </w:rPr>
        <w:t xml:space="preserve">, Panasz: 5856/72, ítélet: 1978. április 25, 31. bekezdés. Lásd még: George LETSAS: </w:t>
      </w:r>
      <w:r w:rsidRPr="000D5AB9">
        <w:rPr>
          <w:rFonts w:cs="Times New Roman"/>
          <w:i/>
        </w:rPr>
        <w:t xml:space="preserve">The ECHR as a Living Instrument: </w:t>
      </w:r>
      <w:proofErr w:type="spellStart"/>
      <w:r w:rsidRPr="000D5AB9">
        <w:rPr>
          <w:rFonts w:cs="Times New Roman"/>
          <w:i/>
        </w:rPr>
        <w:t>Its</w:t>
      </w:r>
      <w:proofErr w:type="spellEnd"/>
      <w:r w:rsidRPr="000D5AB9">
        <w:rPr>
          <w:rFonts w:cs="Times New Roman"/>
          <w:i/>
        </w:rPr>
        <w:t xml:space="preserve"> </w:t>
      </w:r>
      <w:proofErr w:type="spellStart"/>
      <w:r w:rsidRPr="000D5AB9">
        <w:rPr>
          <w:rFonts w:cs="Times New Roman"/>
          <w:i/>
        </w:rPr>
        <w:t>Meaning</w:t>
      </w:r>
      <w:proofErr w:type="spellEnd"/>
      <w:r w:rsidRPr="000D5AB9">
        <w:rPr>
          <w:rFonts w:cs="Times New Roman"/>
          <w:i/>
        </w:rPr>
        <w:t xml:space="preserve"> and </w:t>
      </w:r>
      <w:proofErr w:type="spellStart"/>
      <w:r w:rsidRPr="00D72E9F">
        <w:rPr>
          <w:rFonts w:cs="Times New Roman"/>
          <w:i/>
        </w:rPr>
        <w:t>Legitimac</w:t>
      </w:r>
      <w:r w:rsidR="001D1FC2">
        <w:rPr>
          <w:rFonts w:cs="Times New Roman"/>
          <w:i/>
        </w:rPr>
        <w:t>y</w:t>
      </w:r>
      <w:proofErr w:type="spellEnd"/>
      <w:r w:rsidR="001D1FC2">
        <w:rPr>
          <w:rFonts w:cs="Times New Roman"/>
          <w:i/>
        </w:rPr>
        <w:t xml:space="preserve">. </w:t>
      </w:r>
      <w:proofErr w:type="spellStart"/>
      <w:r w:rsidR="001D1FC2">
        <w:rPr>
          <w:rFonts w:cs="Times New Roman"/>
        </w:rPr>
        <w:t>M</w:t>
      </w:r>
      <w:r w:rsidRPr="00D72E9F">
        <w:rPr>
          <w:rFonts w:cs="Times New Roman"/>
        </w:rPr>
        <w:t>arch</w:t>
      </w:r>
      <w:proofErr w:type="spellEnd"/>
      <w:r w:rsidRPr="000D5AB9">
        <w:rPr>
          <w:rFonts w:cs="Times New Roman"/>
        </w:rPr>
        <w:t xml:space="preserve"> 14, 2012. Elérhető a Social Science Research Network (SSRN) honlapján: </w:t>
      </w:r>
      <w:hyperlink r:id="rId2" w:history="1">
        <w:r w:rsidRPr="00AD1B5D">
          <w:rPr>
            <w:rStyle w:val="Hiperhivatkozs"/>
            <w:rFonts w:cs="Times New Roman"/>
          </w:rPr>
          <w:t>http://ssrn.com/abstract=2021836</w:t>
        </w:r>
      </w:hyperlink>
      <w:r w:rsidRPr="000D5AB9">
        <w:rPr>
          <w:rFonts w:cs="Times New Roman"/>
        </w:rPr>
        <w:t> </w:t>
      </w:r>
      <w:r w:rsidRPr="00F95428">
        <w:rPr>
          <w:rFonts w:cs="Times New Roman"/>
        </w:rPr>
        <w:t>(2016. 04.</w:t>
      </w:r>
      <w:r>
        <w:rPr>
          <w:rFonts w:cs="Times New Roman"/>
        </w:rPr>
        <w:t xml:space="preserve"> </w:t>
      </w:r>
      <w:r w:rsidRPr="00F95428">
        <w:rPr>
          <w:rFonts w:cs="Times New Roman"/>
        </w:rPr>
        <w:t>26.)</w:t>
      </w:r>
      <w:r w:rsidRPr="000D5AB9">
        <w:rPr>
          <w:rFonts w:cs="Times New Roman"/>
        </w:rPr>
        <w:t>.</w:t>
      </w:r>
    </w:p>
  </w:footnote>
  <w:footnote w:id="105">
    <w:p w14:paraId="1BF14003"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Steering Committee on Human Rights (CDDH).</w:t>
      </w:r>
    </w:p>
  </w:footnote>
  <w:footnote w:id="106">
    <w:p w14:paraId="1131654C"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A 2015. júniustól 2015. november 15-ig tartó nyilvános konzultációs időszak alatt 39 beadvány érkezett a kiegészítő jegyzőkönyv tervezetére vonatkozóan.</w:t>
      </w:r>
    </w:p>
  </w:footnote>
  <w:footnote w:id="107">
    <w:p w14:paraId="2F07BC8C"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Council of Europe Committee on Bioethics (DH-BIO): </w:t>
      </w:r>
      <w:r w:rsidRPr="001D1FC2">
        <w:rPr>
          <w:rFonts w:cs="Times New Roman"/>
          <w:i/>
        </w:rPr>
        <w:t>Additional Protocol on the protection of the human rights and dignity of persons with mental disorders with regard to involuntary placement and involuntary treatment.</w:t>
      </w:r>
      <w:r w:rsidRPr="000D5AB9">
        <w:rPr>
          <w:rFonts w:cs="Times New Roman"/>
        </w:rPr>
        <w:t xml:space="preserve"> Compilation of comments received during the public consultation. Strasbourg, 2015. december 9. (DH-BIO/INF (2015) 20. 6-14. [a továbbiakban: DH-BIO/INF (2015)].</w:t>
      </w:r>
    </w:p>
  </w:footnote>
  <w:footnote w:id="108">
    <w:p w14:paraId="56D91994"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Vö.: Council of Europe Parliamentary Assembly: </w:t>
      </w:r>
      <w:r w:rsidRPr="001D1FC2">
        <w:rPr>
          <w:rFonts w:cs="Times New Roman"/>
          <w:i/>
        </w:rPr>
        <w:t>The case against a Council of Europe legal instrument on involuntary measures in psychiatry.</w:t>
      </w:r>
      <w:r w:rsidRPr="000D5AB9">
        <w:rPr>
          <w:rFonts w:cs="Times New Roman"/>
        </w:rPr>
        <w:t xml:space="preserve"> Report by the Committee on Social Affaires, Health and Sustainable Development; Rapporteur: Ms. Guguli MAGRADZE, Georgia, Socialist Goup. 2016. Március 29. DOC. 14007. 11. bekezdés. [a továbbiakban: MAGRADZE (2016)]</w:t>
      </w:r>
    </w:p>
  </w:footnote>
  <w:footnote w:id="109">
    <w:p w14:paraId="61B730FC"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International Classification of Diseases, ICD-10.</w:t>
      </w:r>
    </w:p>
  </w:footnote>
  <w:footnote w:id="110">
    <w:p w14:paraId="4BDF14CE"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Ukrajnában például az egészségügyi miniszter 2011. évi 60. számú rendelete arra kötelezi azokat a transznemű embereket, akik jogilag meg akarják változtatni a nemüket, hogy 30-45 napot töltsenek el egy pszichiátriai intézetben. Ennek a nem-önkéntes pszichiátriai elhelyezésnek a célja, hogy az érintett személyek megkapják a „transzszexualizmus” (F64.0) diagnózisát.</w:t>
      </w:r>
    </w:p>
  </w:footnote>
  <w:footnote w:id="111">
    <w:p w14:paraId="482DF3D5"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DH-BIO/INF (2015) i. m. 4-5.</w:t>
      </w:r>
    </w:p>
  </w:footnote>
  <w:footnote w:id="112">
    <w:p w14:paraId="25F019C8"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FRA (2012) i. m. 51.</w:t>
      </w:r>
    </w:p>
  </w:footnote>
  <w:footnote w:id="113">
    <w:p w14:paraId="0719DA9D"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Vö.: DH-BIO/INF (2015) i. m. 6-14.; MAGRADZE (2016) i. m. 11. bekezdés.</w:t>
      </w:r>
    </w:p>
  </w:footnote>
  <w:footnote w:id="114">
    <w:p w14:paraId="05E45B0E" w14:textId="77777777" w:rsidR="002D0384" w:rsidRPr="000D5AB9" w:rsidRDefault="002D0384" w:rsidP="00C33FF1">
      <w:pPr>
        <w:pStyle w:val="Lbjegyzetszveg"/>
        <w:rPr>
          <w:rFonts w:cs="Times New Roman"/>
        </w:rPr>
      </w:pPr>
      <w:r w:rsidRPr="000D5AB9">
        <w:rPr>
          <w:rStyle w:val="Lbjegyzet-hivatkozs"/>
          <w:rFonts w:cs="Times New Roman"/>
        </w:rPr>
        <w:footnoteRef/>
      </w:r>
      <w:r w:rsidRPr="000D5AB9">
        <w:rPr>
          <w:rFonts w:cs="Times New Roman"/>
        </w:rPr>
        <w:t xml:space="preserve"> Vő.: Office of the United Nations High Commissioner for Human Rights: </w:t>
      </w:r>
      <w:r w:rsidRPr="000D5AB9">
        <w:rPr>
          <w:rFonts w:cs="Times New Roman"/>
          <w:i/>
        </w:rPr>
        <w:t>Thematic Study on enhancing awareness and understanding of the Convention on the Rights of Persons with Disabilities</w:t>
      </w:r>
      <w:r w:rsidRPr="000D5AB9">
        <w:rPr>
          <w:rFonts w:cs="Times New Roman"/>
        </w:rPr>
        <w:t>. A/HRC/10/48. 49. bekezdés. Közzétéve: 2009. január 26.</w:t>
      </w:r>
    </w:p>
  </w:footnote>
  <w:footnote w:id="115">
    <w:p w14:paraId="2485ED66" w14:textId="77777777" w:rsidR="002D0384" w:rsidRPr="000D5AB9" w:rsidRDefault="002D0384" w:rsidP="00BC66A5">
      <w:pPr>
        <w:pStyle w:val="Lbjegyzetszveg"/>
        <w:rPr>
          <w:rFonts w:cs="Times New Roman"/>
        </w:rPr>
      </w:pPr>
      <w:r w:rsidRPr="000D5AB9">
        <w:rPr>
          <w:rStyle w:val="Lbjegyzet-hivatkozs"/>
          <w:rFonts w:cs="Times New Roman"/>
        </w:rPr>
        <w:footnoteRef/>
      </w:r>
      <w:r w:rsidRPr="000D5AB9">
        <w:rPr>
          <w:rFonts w:cs="Times New Roman"/>
        </w:rPr>
        <w:t xml:space="preserve"> Vö.: GURBAI Sándor: Autonómia, akarat, választás. A cselekvőképesség szabályozása az Új Polgári Törvénykönyv tervezetében. </w:t>
      </w:r>
      <w:r w:rsidRPr="000D5AB9">
        <w:rPr>
          <w:rFonts w:cs="Times New Roman"/>
          <w:i/>
        </w:rPr>
        <w:t>Jogtudományi Közlöny</w:t>
      </w:r>
      <w:r w:rsidRPr="000D5AB9">
        <w:rPr>
          <w:rFonts w:cs="Times New Roman"/>
        </w:rPr>
        <w:t>. 2012/6. 249-260.</w:t>
      </w:r>
    </w:p>
  </w:footnote>
  <w:footnote w:id="116">
    <w:p w14:paraId="40F11634"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Vö.: MINKOWITZ (2007)</w:t>
      </w:r>
      <w:r w:rsidRPr="000D5AB9">
        <w:rPr>
          <w:rFonts w:cs="Times New Roman"/>
          <w:lang w:val="en-US"/>
        </w:rPr>
        <w:t xml:space="preserve"> </w:t>
      </w:r>
      <w:proofErr w:type="spellStart"/>
      <w:r w:rsidRPr="000D5AB9">
        <w:rPr>
          <w:rFonts w:cs="Times New Roman"/>
          <w:lang w:val="en-US"/>
        </w:rPr>
        <w:t>i</w:t>
      </w:r>
      <w:proofErr w:type="spellEnd"/>
      <w:r w:rsidRPr="000D5AB9">
        <w:rPr>
          <w:rFonts w:cs="Times New Roman"/>
          <w:lang w:val="en-US"/>
        </w:rPr>
        <w:t>. m. 409.</w:t>
      </w:r>
    </w:p>
  </w:footnote>
  <w:footnote w:id="117">
    <w:p w14:paraId="7BEDB2E9"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World Network of (ex-</w:t>
      </w:r>
      <w:proofErr w:type="gramStart"/>
      <w:r w:rsidRPr="000D5AB9">
        <w:rPr>
          <w:rFonts w:cs="Times New Roman"/>
        </w:rPr>
        <w:t>)</w:t>
      </w:r>
      <w:proofErr w:type="spellStart"/>
      <w:r w:rsidRPr="000D5AB9">
        <w:rPr>
          <w:rFonts w:cs="Times New Roman"/>
        </w:rPr>
        <w:t>Users</w:t>
      </w:r>
      <w:proofErr w:type="spellEnd"/>
      <w:proofErr w:type="gramEnd"/>
      <w:r w:rsidRPr="000D5AB9">
        <w:rPr>
          <w:rFonts w:cs="Times New Roman"/>
        </w:rPr>
        <w:t xml:space="preserve"> and </w:t>
      </w:r>
      <w:proofErr w:type="spellStart"/>
      <w:r w:rsidRPr="000D5AB9">
        <w:rPr>
          <w:rFonts w:cs="Times New Roman"/>
        </w:rPr>
        <w:t>Survivors</w:t>
      </w:r>
      <w:proofErr w:type="spellEnd"/>
      <w:r w:rsidRPr="000D5AB9">
        <w:rPr>
          <w:rFonts w:cs="Times New Roman"/>
        </w:rPr>
        <w:t xml:space="preserve"> of </w:t>
      </w:r>
      <w:proofErr w:type="spellStart"/>
      <w:r w:rsidRPr="000D5AB9">
        <w:rPr>
          <w:rFonts w:cs="Times New Roman"/>
        </w:rPr>
        <w:t>Psychiatry</w:t>
      </w:r>
      <w:proofErr w:type="spellEnd"/>
      <w:r w:rsidRPr="000D5AB9">
        <w:rPr>
          <w:rFonts w:cs="Times New Roman"/>
        </w:rPr>
        <w:t xml:space="preserve"> – WNUSP. </w:t>
      </w:r>
      <w:hyperlink r:id="rId3" w:history="1">
        <w:r w:rsidRPr="000D5AB9">
          <w:rPr>
            <w:rStyle w:val="Hiperhivatkozs"/>
            <w:rFonts w:cs="Times New Roman"/>
          </w:rPr>
          <w:t>http://www.wnusp.net/</w:t>
        </w:r>
      </w:hyperlink>
      <w:r>
        <w:rPr>
          <w:rStyle w:val="Hiperhivatkozs"/>
          <w:rFonts w:cs="Times New Roman"/>
        </w:rPr>
        <w:t xml:space="preserve"> </w:t>
      </w:r>
      <w:r>
        <w:rPr>
          <w:rFonts w:cs="Times New Roman"/>
        </w:rPr>
        <w:t>(2016. 04. 26.).</w:t>
      </w:r>
    </w:p>
  </w:footnote>
  <w:footnote w:id="118">
    <w:p w14:paraId="68F595AB"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European Network of (ex-</w:t>
      </w:r>
      <w:proofErr w:type="gramStart"/>
      <w:r w:rsidRPr="000D5AB9">
        <w:rPr>
          <w:rFonts w:cs="Times New Roman"/>
        </w:rPr>
        <w:t>)Users</w:t>
      </w:r>
      <w:proofErr w:type="gramEnd"/>
      <w:r w:rsidRPr="000D5AB9">
        <w:rPr>
          <w:rFonts w:cs="Times New Roman"/>
        </w:rPr>
        <w:t xml:space="preserve"> and Survivors of Psychiatry – ENUSP. </w:t>
      </w:r>
      <w:hyperlink r:id="rId4" w:history="1">
        <w:r w:rsidRPr="000D5AB9">
          <w:rPr>
            <w:rStyle w:val="Hiperhivatkozs"/>
            <w:rFonts w:cs="Times New Roman"/>
          </w:rPr>
          <w:t>http://www.enusp.org/</w:t>
        </w:r>
      </w:hyperlink>
      <w:r>
        <w:rPr>
          <w:rStyle w:val="Hiperhivatkozs"/>
          <w:rFonts w:cs="Times New Roman"/>
        </w:rPr>
        <w:t xml:space="preserve"> </w:t>
      </w:r>
      <w:r>
        <w:rPr>
          <w:rFonts w:cs="Times New Roman"/>
        </w:rPr>
        <w:t>(2016. 04. 26.).</w:t>
      </w:r>
    </w:p>
  </w:footnote>
  <w:footnote w:id="119">
    <w:p w14:paraId="24D9F26D" w14:textId="71119060" w:rsidR="002D0384" w:rsidRDefault="002D0384">
      <w:pPr>
        <w:pStyle w:val="Lbjegyzetszveg"/>
      </w:pPr>
      <w:r>
        <w:rPr>
          <w:rStyle w:val="Lbjegyzet-hivatkozs"/>
        </w:rPr>
        <w:footnoteRef/>
      </w:r>
      <w:r>
        <w:t xml:space="preserve"> </w:t>
      </w:r>
      <w:hyperlink r:id="rId5" w:history="1">
        <w:r w:rsidRPr="00D72E9F">
          <w:rPr>
            <w:rStyle w:val="Hiperhivatkozs"/>
          </w:rPr>
          <w:t>http://pef.hu/pef/start/index.php</w:t>
        </w:r>
      </w:hyperlink>
      <w:r w:rsidRPr="00D72E9F">
        <w:t xml:space="preserve"> (2016. 04. 26.).</w:t>
      </w:r>
      <w:r>
        <w:t xml:space="preserve"> A PÉF olyan unikális szervezet, melynek döntéshozó testülete a felhasználói többség elve (</w:t>
      </w:r>
      <w:proofErr w:type="spellStart"/>
      <w:r>
        <w:t>user</w:t>
      </w:r>
      <w:proofErr w:type="spellEnd"/>
      <w:r>
        <w:t xml:space="preserve"> </w:t>
      </w:r>
      <w:proofErr w:type="spellStart"/>
      <w:r>
        <w:t>control</w:t>
      </w:r>
      <w:proofErr w:type="spellEnd"/>
      <w:r>
        <w:t>) alapján működik.</w:t>
      </w:r>
    </w:p>
  </w:footnote>
  <w:footnote w:id="120">
    <w:p w14:paraId="307BB93B"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proofErr w:type="spellStart"/>
      <w:r w:rsidRPr="000D5AB9">
        <w:rPr>
          <w:rFonts w:cs="Times New Roman"/>
        </w:rPr>
        <w:t>Hearing</w:t>
      </w:r>
      <w:proofErr w:type="spellEnd"/>
      <w:r w:rsidRPr="000D5AB9">
        <w:rPr>
          <w:rFonts w:cs="Times New Roman"/>
        </w:rPr>
        <w:t xml:space="preserve"> </w:t>
      </w:r>
      <w:proofErr w:type="spellStart"/>
      <w:r w:rsidRPr="000D5AB9">
        <w:rPr>
          <w:rFonts w:cs="Times New Roman"/>
        </w:rPr>
        <w:t>Voices</w:t>
      </w:r>
      <w:proofErr w:type="spellEnd"/>
      <w:r w:rsidRPr="000D5AB9">
        <w:rPr>
          <w:rFonts w:cs="Times New Roman"/>
        </w:rPr>
        <w:t xml:space="preserve"> Network UK. </w:t>
      </w:r>
      <w:hyperlink r:id="rId6" w:history="1">
        <w:r w:rsidRPr="000D5AB9">
          <w:rPr>
            <w:rStyle w:val="Hiperhivatkozs"/>
            <w:rFonts w:cs="Times New Roman"/>
          </w:rPr>
          <w:t>http://www.hearing-voices.org/</w:t>
        </w:r>
      </w:hyperlink>
      <w:r>
        <w:rPr>
          <w:rStyle w:val="Hiperhivatkozs"/>
          <w:rFonts w:cs="Times New Roman"/>
        </w:rPr>
        <w:t xml:space="preserve"> </w:t>
      </w:r>
      <w:r>
        <w:rPr>
          <w:rFonts w:cs="Times New Roman"/>
        </w:rPr>
        <w:t>(2016. 04. 26.).</w:t>
      </w:r>
    </w:p>
  </w:footnote>
  <w:footnote w:id="121">
    <w:p w14:paraId="77F0C55D" w14:textId="391C46D5" w:rsidR="002D0384" w:rsidRDefault="002D0384">
      <w:pPr>
        <w:pStyle w:val="Lbjegyzetszveg"/>
      </w:pPr>
      <w:r>
        <w:rPr>
          <w:rStyle w:val="Lbjegyzet-hivatkozs"/>
        </w:rPr>
        <w:footnoteRef/>
      </w:r>
      <w:r>
        <w:t xml:space="preserve"> </w:t>
      </w:r>
      <w:hyperlink r:id="rId7" w:history="1">
        <w:r w:rsidRPr="00D14D6D">
          <w:rPr>
            <w:rStyle w:val="Hiperhivatkozs"/>
          </w:rPr>
          <w:t>http://lelekhangegyesulet.5mp.eu/web.php?a=lelekhangegyesulet</w:t>
        </w:r>
      </w:hyperlink>
      <w:r>
        <w:t xml:space="preserve"> (2016. 04. 26.).</w:t>
      </w:r>
      <w:r w:rsidRPr="00474478">
        <w:rPr>
          <w:rFonts w:ascii="Arial" w:hAnsi="Arial" w:cs="Arial"/>
          <w:color w:val="000000"/>
          <w:sz w:val="18"/>
          <w:szCs w:val="18"/>
          <w:shd w:val="clear" w:color="auto" w:fill="FFFFFF"/>
        </w:rPr>
        <w:t xml:space="preserve"> </w:t>
      </w:r>
      <w:r w:rsidRPr="00474478">
        <w:t>A</w:t>
      </w:r>
      <w:r>
        <w:t xml:space="preserve"> Lélekhang E</w:t>
      </w:r>
      <w:r w:rsidRPr="00474478">
        <w:t>gyesület az ország egyik legnagyobb, pszichiátriai diagnózissal élőket (elsősorban skizofréniá</w:t>
      </w:r>
      <w:r>
        <w:t>val</w:t>
      </w:r>
      <w:r w:rsidRPr="00474478">
        <w:t xml:space="preserve"> és a depresszió különféle fajtái</w:t>
      </w:r>
      <w:r>
        <w:t xml:space="preserve">val diagnosztizált személyeket) </w:t>
      </w:r>
      <w:r w:rsidRPr="00474478">
        <w:t>tömörítő önsegítő szervezete. </w:t>
      </w:r>
    </w:p>
  </w:footnote>
  <w:footnote w:id="122">
    <w:p w14:paraId="157DECCB"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SZŐKE Zsolt: </w:t>
      </w:r>
      <w:r w:rsidRPr="000D5AB9">
        <w:rPr>
          <w:rFonts w:cs="Times New Roman"/>
          <w:i/>
        </w:rPr>
        <w:t>Bemutató a felépülésről, önsegítésről.</w:t>
      </w:r>
      <w:r w:rsidRPr="000D5AB9">
        <w:rPr>
          <w:rFonts w:cs="Times New Roman"/>
        </w:rPr>
        <w:t xml:space="preserve"> Debrecen, 2011. </w:t>
      </w:r>
      <w:hyperlink r:id="rId8" w:history="1">
        <w:r w:rsidRPr="000D5AB9">
          <w:rPr>
            <w:rStyle w:val="Hiperhivatkozs"/>
            <w:rFonts w:cs="Times New Roman"/>
          </w:rPr>
          <w:t>http://5mp.eu/fajlok2/lelekhangegyesulet/onsegites_lelekhang_www.5mp.eu_.pps</w:t>
        </w:r>
      </w:hyperlink>
      <w:r w:rsidRPr="000D5AB9">
        <w:rPr>
          <w:rFonts w:cs="Times New Roman"/>
        </w:rPr>
        <w:t xml:space="preserve"> </w:t>
      </w:r>
      <w:r>
        <w:rPr>
          <w:rFonts w:cs="Times New Roman"/>
        </w:rPr>
        <w:t>(2016. 04. 26.).</w:t>
      </w:r>
    </w:p>
  </w:footnote>
  <w:footnote w:id="123">
    <w:p w14:paraId="1AF1F1DA" w14:textId="19283088"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hyperlink r:id="rId9" w:history="1">
        <w:r w:rsidRPr="000D5AB9">
          <w:rPr>
            <w:rStyle w:val="Hiperhivatkozs"/>
            <w:rFonts w:cs="Times New Roman"/>
          </w:rPr>
          <w:t>http://ebredesek.hu/node/92</w:t>
        </w:r>
      </w:hyperlink>
      <w:r w:rsidRPr="000D5AB9">
        <w:rPr>
          <w:rFonts w:cs="Times New Roman"/>
        </w:rPr>
        <w:t xml:space="preserve"> </w:t>
      </w:r>
      <w:r>
        <w:rPr>
          <w:rFonts w:cs="Times New Roman"/>
        </w:rPr>
        <w:t>(2016. 04. 26.).</w:t>
      </w:r>
      <w:r w:rsidRPr="00804684">
        <w:rPr>
          <w:rFonts w:ascii="Verdana" w:hAnsi="Verdana"/>
          <w:color w:val="000000"/>
          <w:sz w:val="22"/>
          <w:szCs w:val="22"/>
          <w:shd w:val="clear" w:color="auto" w:fill="FFFFFF"/>
        </w:rPr>
        <w:t xml:space="preserve"> </w:t>
      </w:r>
      <w:r w:rsidRPr="00804684">
        <w:rPr>
          <w:rFonts w:cs="Times New Roman"/>
        </w:rPr>
        <w:t>Az Alapítvány 1991-ben alakult, 1995 óta</w:t>
      </w:r>
      <w:r>
        <w:rPr>
          <w:rFonts w:cs="Times New Roman"/>
        </w:rPr>
        <w:t xml:space="preserve"> </w:t>
      </w:r>
      <w:r w:rsidRPr="00804684">
        <w:rPr>
          <w:rFonts w:cs="Times New Roman"/>
          <w:i/>
          <w:iCs/>
        </w:rPr>
        <w:t>innovációs misszióval működő bölcsőszervezet</w:t>
      </w:r>
      <w:r w:rsidRPr="00804684">
        <w:rPr>
          <w:rFonts w:cs="Times New Roman"/>
        </w:rPr>
        <w:t>, amely számos innovatív programot és civil szervezetet bocsájtott útjára</w:t>
      </w:r>
      <w:r>
        <w:rPr>
          <w:rFonts w:cs="Times New Roman"/>
        </w:rPr>
        <w:t xml:space="preserve">, így </w:t>
      </w:r>
      <w:proofErr w:type="gramStart"/>
      <w:r>
        <w:rPr>
          <w:rFonts w:cs="Times New Roman"/>
        </w:rPr>
        <w:t xml:space="preserve">például </w:t>
      </w:r>
      <w:r w:rsidRPr="00804684">
        <w:rPr>
          <w:rFonts w:cs="Times New Roman"/>
        </w:rPr>
        <w:t xml:space="preserve"> az</w:t>
      </w:r>
      <w:proofErr w:type="gramEnd"/>
      <w:r w:rsidRPr="00804684">
        <w:rPr>
          <w:rFonts w:cs="Times New Roman"/>
        </w:rPr>
        <w:t xml:space="preserve"> első országos beteg-érdekvédő szerve</w:t>
      </w:r>
      <w:r>
        <w:rPr>
          <w:rFonts w:cs="Times New Roman"/>
        </w:rPr>
        <w:t xml:space="preserve">zetet, a </w:t>
      </w:r>
      <w:r w:rsidRPr="00804684">
        <w:rPr>
          <w:rFonts w:cs="Times New Roman"/>
        </w:rPr>
        <w:t>Pszichiátriai Érdekvédelmi Fórum</w:t>
      </w:r>
      <w:r>
        <w:rPr>
          <w:rFonts w:cs="Times New Roman"/>
        </w:rPr>
        <w:t>ot.</w:t>
      </w:r>
    </w:p>
  </w:footnote>
  <w:footnote w:id="124">
    <w:p w14:paraId="502AAC9B"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proofErr w:type="spellStart"/>
      <w:r w:rsidRPr="000D5AB9">
        <w:rPr>
          <w:rFonts w:cs="Times New Roman"/>
        </w:rPr>
        <w:t>Ld</w:t>
      </w:r>
      <w:proofErr w:type="spellEnd"/>
      <w:r w:rsidRPr="000D5AB9">
        <w:rPr>
          <w:rFonts w:cs="Times New Roman"/>
        </w:rPr>
        <w:t xml:space="preserve">: </w:t>
      </w:r>
      <w:proofErr w:type="spellStart"/>
      <w:r w:rsidRPr="000D5AB9">
        <w:rPr>
          <w:rFonts w:cs="Times New Roman"/>
        </w:rPr>
        <w:t>Shery</w:t>
      </w:r>
      <w:proofErr w:type="spellEnd"/>
      <w:r w:rsidRPr="000D5AB9">
        <w:rPr>
          <w:rFonts w:cs="Times New Roman"/>
        </w:rPr>
        <w:t xml:space="preserve"> MEAD: </w:t>
      </w:r>
      <w:proofErr w:type="spellStart"/>
      <w:r w:rsidRPr="001D1FC2">
        <w:rPr>
          <w:rFonts w:cs="Times New Roman"/>
          <w:i/>
        </w:rPr>
        <w:t>Intentional</w:t>
      </w:r>
      <w:proofErr w:type="spellEnd"/>
      <w:r w:rsidRPr="001D1FC2">
        <w:rPr>
          <w:rFonts w:cs="Times New Roman"/>
          <w:i/>
        </w:rPr>
        <w:t xml:space="preserve"> Peer </w:t>
      </w:r>
      <w:proofErr w:type="spellStart"/>
      <w:r w:rsidRPr="001D1FC2">
        <w:rPr>
          <w:rFonts w:cs="Times New Roman"/>
          <w:i/>
        </w:rPr>
        <w:t>Support</w:t>
      </w:r>
      <w:proofErr w:type="spellEnd"/>
      <w:r w:rsidRPr="001D1FC2">
        <w:rPr>
          <w:rFonts w:cs="Times New Roman"/>
          <w:i/>
        </w:rPr>
        <w:t xml:space="preserve">: A </w:t>
      </w:r>
      <w:proofErr w:type="spellStart"/>
      <w:r w:rsidRPr="001D1FC2">
        <w:rPr>
          <w:rFonts w:cs="Times New Roman"/>
          <w:i/>
        </w:rPr>
        <w:t>Personal</w:t>
      </w:r>
      <w:proofErr w:type="spellEnd"/>
      <w:r w:rsidRPr="001D1FC2">
        <w:rPr>
          <w:rFonts w:cs="Times New Roman"/>
          <w:i/>
        </w:rPr>
        <w:t xml:space="preserve"> </w:t>
      </w:r>
      <w:proofErr w:type="spellStart"/>
      <w:r w:rsidRPr="001D1FC2">
        <w:rPr>
          <w:rFonts w:cs="Times New Roman"/>
          <w:i/>
        </w:rPr>
        <w:t>Retrospective</w:t>
      </w:r>
      <w:proofErr w:type="spellEnd"/>
      <w:r w:rsidRPr="000D5AB9">
        <w:rPr>
          <w:rFonts w:cs="Times New Roman"/>
        </w:rPr>
        <w:t xml:space="preserve">. </w:t>
      </w:r>
      <w:hyperlink r:id="rId10" w:history="1">
        <w:r w:rsidRPr="000D5AB9">
          <w:rPr>
            <w:rStyle w:val="Hiperhivatkozs"/>
            <w:rFonts w:cs="Times New Roman"/>
          </w:rPr>
          <w:t>http://www.intentionalpeersupport.org/wp-content/uploads/2014/04/IPS-A-Personal-Retrospective.pdf</w:t>
        </w:r>
      </w:hyperlink>
      <w:r w:rsidRPr="000D5AB9">
        <w:rPr>
          <w:rFonts w:cs="Times New Roman"/>
        </w:rPr>
        <w:t xml:space="preserve"> </w:t>
      </w:r>
      <w:r>
        <w:rPr>
          <w:rFonts w:cs="Times New Roman"/>
        </w:rPr>
        <w:t>(2016. 04. 26.).</w:t>
      </w:r>
    </w:p>
  </w:footnote>
  <w:footnote w:id="125">
    <w:p w14:paraId="102CA8F4"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hyperlink r:id="rId11" w:history="1">
        <w:r w:rsidRPr="000D5AB9">
          <w:rPr>
            <w:rStyle w:val="Hiperhivatkozs"/>
            <w:rFonts w:cs="Times New Roman"/>
          </w:rPr>
          <w:t>http://www.intentionalpeersupport.org/what-is-ips/</w:t>
        </w:r>
      </w:hyperlink>
      <w:r w:rsidRPr="000D5AB9">
        <w:rPr>
          <w:rFonts w:cs="Times New Roman"/>
        </w:rPr>
        <w:t xml:space="preserve"> </w:t>
      </w:r>
      <w:r>
        <w:rPr>
          <w:rFonts w:cs="Times New Roman"/>
        </w:rPr>
        <w:t>(2016. 04. 26.).</w:t>
      </w:r>
    </w:p>
  </w:footnote>
  <w:footnote w:id="126">
    <w:p w14:paraId="1C5A48AC"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w:t>
      </w:r>
    </w:p>
  </w:footnote>
  <w:footnote w:id="127">
    <w:p w14:paraId="4EA2B285" w14:textId="77777777" w:rsidR="002D0384" w:rsidRPr="000D5AB9" w:rsidRDefault="002D0384" w:rsidP="00D634B4">
      <w:pPr>
        <w:pStyle w:val="Lbjegyzetszveg"/>
        <w:rPr>
          <w:rFonts w:cs="Times New Roman"/>
        </w:rPr>
      </w:pPr>
      <w:r w:rsidRPr="000D5AB9">
        <w:rPr>
          <w:rStyle w:val="Lbjegyzet-hivatkozs"/>
          <w:rFonts w:cs="Times New Roman"/>
        </w:rPr>
        <w:footnoteRef/>
      </w:r>
      <w:r w:rsidRPr="000D5AB9">
        <w:rPr>
          <w:rFonts w:cs="Times New Roman"/>
        </w:rPr>
        <w:t xml:space="preserve"> Shery MEAD: </w:t>
      </w:r>
      <w:r w:rsidRPr="000D5AB9">
        <w:rPr>
          <w:rFonts w:cs="Times New Roman"/>
          <w:i/>
        </w:rPr>
        <w:t>Intentional Peer Support: An Alternative Approach</w:t>
      </w:r>
      <w:r w:rsidRPr="000D5AB9">
        <w:rPr>
          <w:rFonts w:cs="Times New Roman"/>
        </w:rPr>
        <w:t>. Intentional Peer Support, West Chesterfield.</w:t>
      </w:r>
    </w:p>
  </w:footnote>
  <w:footnote w:id="128">
    <w:p w14:paraId="52A76F75"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hyperlink r:id="rId12" w:anchor="FTAnchor" w:history="1">
        <w:r w:rsidRPr="000D5AB9">
          <w:rPr>
            <w:rStyle w:val="Hiperhivatkozs"/>
            <w:rFonts w:cs="Times New Roman"/>
          </w:rPr>
          <w:t>http://www.intentionalpeersupport.org/trainings/#FTAnchor</w:t>
        </w:r>
      </w:hyperlink>
      <w:r w:rsidRPr="000D5AB9">
        <w:rPr>
          <w:rFonts w:cs="Times New Roman"/>
        </w:rPr>
        <w:t xml:space="preserve"> </w:t>
      </w:r>
      <w:r>
        <w:rPr>
          <w:rFonts w:cs="Times New Roman"/>
        </w:rPr>
        <w:t>(2016. 04. 26.).</w:t>
      </w:r>
    </w:p>
  </w:footnote>
  <w:footnote w:id="129">
    <w:p w14:paraId="7C6BBEDB"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GOMBOS i. m. 6.</w:t>
      </w:r>
    </w:p>
  </w:footnote>
  <w:footnote w:id="130">
    <w:p w14:paraId="4C85D237"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BUGARSZKI Zsolt: A közösségi pszichiátriai ellátásról. In: </w:t>
      </w:r>
      <w:r w:rsidRPr="000D5AB9">
        <w:rPr>
          <w:rFonts w:cs="Times New Roman"/>
          <w:i/>
        </w:rPr>
        <w:t>Esély</w:t>
      </w:r>
      <w:r w:rsidRPr="000D5AB9">
        <w:rPr>
          <w:rFonts w:cs="Times New Roman"/>
        </w:rPr>
        <w:t xml:space="preserve">, 2006/1. 67-73.; BUGARSZKI Zsolt: A mentális problémák felépülés alapú megközelítése. In: </w:t>
      </w:r>
      <w:r w:rsidRPr="000D5AB9">
        <w:rPr>
          <w:rFonts w:cs="Times New Roman"/>
          <w:i/>
        </w:rPr>
        <w:t>Esély</w:t>
      </w:r>
      <w:r w:rsidRPr="000D5AB9">
        <w:rPr>
          <w:rFonts w:cs="Times New Roman"/>
        </w:rPr>
        <w:t>. 2013/5. 68-85. [a továbbiakban: BUGARSZKI (2013)]</w:t>
      </w:r>
    </w:p>
  </w:footnote>
  <w:footnote w:id="131">
    <w:p w14:paraId="44DE6F28"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BUGARSZKI (2013) i. m. 69.</w:t>
      </w:r>
    </w:p>
  </w:footnote>
  <w:footnote w:id="132">
    <w:p w14:paraId="245B2FF1"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w:t>
      </w:r>
    </w:p>
  </w:footnote>
  <w:footnote w:id="133">
    <w:p w14:paraId="594B054B"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William ANTHONY: Recovery from mental illness: The guiding vision of the mental health service in the 1990’s. </w:t>
      </w:r>
      <w:r w:rsidRPr="000D5AB9">
        <w:rPr>
          <w:rFonts w:cs="Times New Roman"/>
          <w:i/>
        </w:rPr>
        <w:t>Psychosocial Rehabilitation Journal</w:t>
      </w:r>
      <w:r w:rsidRPr="000D5AB9">
        <w:rPr>
          <w:rFonts w:cs="Times New Roman"/>
        </w:rPr>
        <w:t xml:space="preserve">, 16(4), 11–23. Reprinted in: William ANTHONY: </w:t>
      </w:r>
      <w:r w:rsidRPr="00FA1C17">
        <w:rPr>
          <w:rFonts w:cs="Times New Roman"/>
          <w:i/>
        </w:rPr>
        <w:t xml:space="preserve">Toward a Vision of Recovery. For Mental Health and Rehabilitation Services. </w:t>
      </w:r>
      <w:r w:rsidRPr="000D5AB9">
        <w:rPr>
          <w:rFonts w:cs="Times New Roman"/>
        </w:rPr>
        <w:t>Boston, Massachusetts, Center for Psychiatric Rehabilitation Sargent College o</w:t>
      </w:r>
      <w:r>
        <w:rPr>
          <w:rFonts w:cs="Times New Roman"/>
        </w:rPr>
        <w:t>f Allied Health Professions, 7.</w:t>
      </w:r>
    </w:p>
  </w:footnote>
  <w:footnote w:id="134">
    <w:p w14:paraId="2E16F8CC"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w:t>
      </w:r>
    </w:p>
  </w:footnote>
  <w:footnote w:id="135">
    <w:p w14:paraId="425368D3"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Patricia E. DEEGAN: Recovery: The lived experience of rehabilitation. In: </w:t>
      </w:r>
      <w:r w:rsidRPr="00FA1C17">
        <w:rPr>
          <w:rFonts w:cs="Times New Roman"/>
          <w:i/>
        </w:rPr>
        <w:t>Psychosocial Rehabilitation Journal</w:t>
      </w:r>
      <w:r w:rsidRPr="000D5AB9">
        <w:rPr>
          <w:rFonts w:cs="Times New Roman"/>
        </w:rPr>
        <w:t>, Vol 11, 1988. 15</w:t>
      </w:r>
      <w:r>
        <w:rPr>
          <w:rFonts w:cs="Times New Roman"/>
        </w:rPr>
        <w:t>.</w:t>
      </w:r>
    </w:p>
  </w:footnote>
  <w:footnote w:id="136">
    <w:p w14:paraId="14E941C5"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hyperlink r:id="rId13" w:history="1">
        <w:r w:rsidRPr="000D5AB9">
          <w:rPr>
            <w:rStyle w:val="Hiperhivatkozs"/>
            <w:rFonts w:cs="Times New Roman"/>
          </w:rPr>
          <w:t>http://www.tidal-model.com</w:t>
        </w:r>
      </w:hyperlink>
      <w:r w:rsidRPr="000D5AB9">
        <w:rPr>
          <w:rFonts w:cs="Times New Roman"/>
        </w:rPr>
        <w:t xml:space="preserve"> </w:t>
      </w:r>
      <w:r>
        <w:rPr>
          <w:rFonts w:cs="Times New Roman"/>
        </w:rPr>
        <w:t>(2016. 04. 26.).</w:t>
      </w:r>
    </w:p>
  </w:footnote>
  <w:footnote w:id="137">
    <w:p w14:paraId="538CD13F" w14:textId="77777777" w:rsidR="002D0384" w:rsidRPr="000D5AB9" w:rsidRDefault="002D0384" w:rsidP="008A799E">
      <w:pPr>
        <w:pStyle w:val="Lbjegyzetszveg"/>
        <w:rPr>
          <w:rFonts w:cs="Times New Roman"/>
        </w:rPr>
      </w:pPr>
      <w:r w:rsidRPr="000D5AB9">
        <w:rPr>
          <w:rStyle w:val="Lbjegyzet-hivatkozs"/>
          <w:rFonts w:cs="Times New Roman"/>
        </w:rPr>
        <w:footnoteRef/>
      </w:r>
      <w:r w:rsidRPr="000D5AB9">
        <w:rPr>
          <w:rFonts w:cs="Times New Roman"/>
        </w:rPr>
        <w:t xml:space="preserve"> </w:t>
      </w:r>
      <w:r w:rsidRPr="000D5AB9">
        <w:rPr>
          <w:rFonts w:cs="Times New Roman"/>
          <w:i/>
        </w:rPr>
        <w:t>A Recovery Approach to Mental Health Care (using the tidal model) Turning the Tide Handbook</w:t>
      </w:r>
      <w:r w:rsidRPr="000D5AB9">
        <w:rPr>
          <w:rFonts w:cs="Times New Roman"/>
        </w:rPr>
        <w:t>. The Centre of Excellence in Interdisciplinary Mental Health University of Birmingham &amp; Birmingham and Solihull Mental Health NHS Trust. 2008. 9.</w:t>
      </w:r>
    </w:p>
  </w:footnote>
  <w:footnote w:id="138">
    <w:p w14:paraId="5C443DF2"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Vö.: Uo. 28-29.</w:t>
      </w:r>
    </w:p>
  </w:footnote>
  <w:footnote w:id="139">
    <w:p w14:paraId="41094182"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29-30.</w:t>
      </w:r>
    </w:p>
  </w:footnote>
  <w:footnote w:id="140">
    <w:p w14:paraId="1B22F4D7"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FAQ </w:t>
      </w:r>
      <w:hyperlink r:id="rId14" w:history="1">
        <w:r w:rsidRPr="000D5AB9">
          <w:rPr>
            <w:rStyle w:val="Hiperhivatkozs"/>
            <w:rFonts w:cs="Times New Roman"/>
          </w:rPr>
          <w:t>http://www.tidal-model.com</w:t>
        </w:r>
      </w:hyperlink>
      <w:r>
        <w:rPr>
          <w:rFonts w:cs="Times New Roman"/>
        </w:rPr>
        <w:t xml:space="preserve"> (2016. 04. 26.).</w:t>
      </w:r>
    </w:p>
  </w:footnote>
  <w:footnote w:id="141">
    <w:p w14:paraId="2717A310"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w:t>
      </w:r>
    </w:p>
  </w:footnote>
  <w:footnote w:id="142">
    <w:p w14:paraId="50D7772D"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Phil BARKER és Poppy BUCHANAN-BARKER: </w:t>
      </w:r>
      <w:r w:rsidRPr="000D5AB9">
        <w:rPr>
          <w:rFonts w:cs="Times New Roman"/>
          <w:i/>
        </w:rPr>
        <w:t>The Tidal Model: A Guide for Mental Health Professionals.</w:t>
      </w:r>
      <w:r w:rsidRPr="000D5AB9">
        <w:rPr>
          <w:rFonts w:cs="Times New Roman"/>
        </w:rPr>
        <w:t xml:space="preserve"> London and New York, Brunner-Routledge, 2005. További publikációkkal kapcsolatosan lásd: </w:t>
      </w:r>
      <w:hyperlink r:id="rId15" w:history="1">
        <w:r w:rsidRPr="000D5AB9">
          <w:rPr>
            <w:rStyle w:val="Hiperhivatkozs"/>
            <w:rFonts w:cs="Times New Roman"/>
          </w:rPr>
          <w:t>http://www.tidal-model.com/Publications.html</w:t>
        </w:r>
      </w:hyperlink>
      <w:r w:rsidRPr="000D5AB9">
        <w:rPr>
          <w:rFonts w:cs="Times New Roman"/>
        </w:rPr>
        <w:t xml:space="preserve"> </w:t>
      </w:r>
      <w:r>
        <w:rPr>
          <w:rFonts w:cs="Times New Roman"/>
        </w:rPr>
        <w:t>(2016. 04. 26.).</w:t>
      </w:r>
    </w:p>
  </w:footnote>
  <w:footnote w:id="143">
    <w:p w14:paraId="690BFBAA" w14:textId="347399BB" w:rsidR="002D0384" w:rsidRDefault="002D0384">
      <w:pPr>
        <w:pStyle w:val="Lbjegyzetszveg"/>
      </w:pPr>
      <w:r>
        <w:rPr>
          <w:rStyle w:val="Lbjegyzet-hivatkozs"/>
        </w:rPr>
        <w:footnoteRef/>
      </w:r>
      <w:r>
        <w:t xml:space="preserve"> </w:t>
      </w:r>
      <w:hyperlink r:id="rId16" w:history="1">
        <w:r w:rsidRPr="00362EAD">
          <w:rPr>
            <w:rStyle w:val="Hiperhivatkozs"/>
            <w:bCs/>
          </w:rPr>
          <w:t>http://www.tidal-model.com/people.html</w:t>
        </w:r>
      </w:hyperlink>
      <w:r>
        <w:t>.</w:t>
      </w:r>
    </w:p>
  </w:footnote>
  <w:footnote w:id="144">
    <w:p w14:paraId="421E8CAB" w14:textId="21FEAA9B" w:rsidR="002D0384" w:rsidRDefault="002D0384">
      <w:pPr>
        <w:pStyle w:val="Lbjegyzetszveg"/>
      </w:pPr>
      <w:r>
        <w:rPr>
          <w:rStyle w:val="Lbjegyzet-hivatkozs"/>
        </w:rPr>
        <w:footnoteRef/>
      </w:r>
      <w:r>
        <w:t xml:space="preserve"> Uo.</w:t>
      </w:r>
    </w:p>
  </w:footnote>
  <w:footnote w:id="145">
    <w:p w14:paraId="7503D56E" w14:textId="77777777" w:rsidR="002D0384" w:rsidRPr="000D5AB9" w:rsidRDefault="002D0384" w:rsidP="003217B4">
      <w:pPr>
        <w:pStyle w:val="Lbjegyzetszveg"/>
        <w:rPr>
          <w:rFonts w:cs="Times New Roman"/>
        </w:rPr>
      </w:pPr>
      <w:r w:rsidRPr="000D5AB9">
        <w:rPr>
          <w:rStyle w:val="Lbjegyzet-hivatkozs"/>
          <w:rFonts w:cs="Times New Roman"/>
        </w:rPr>
        <w:footnoteRef/>
      </w:r>
      <w:r w:rsidRPr="000D5AB9">
        <w:rPr>
          <w:rFonts w:cs="Times New Roman"/>
        </w:rPr>
        <w:t xml:space="preserve"> Az angol „</w:t>
      </w:r>
      <w:proofErr w:type="spellStart"/>
      <w:r w:rsidRPr="000D5AB9">
        <w:rPr>
          <w:rFonts w:cs="Times New Roman"/>
        </w:rPr>
        <w:t>support</w:t>
      </w:r>
      <w:proofErr w:type="spellEnd"/>
      <w:r w:rsidRPr="000D5AB9">
        <w:rPr>
          <w:rFonts w:cs="Times New Roman"/>
        </w:rPr>
        <w:t xml:space="preserve">” kifejezést a </w:t>
      </w:r>
      <w:proofErr w:type="spellStart"/>
      <w:r w:rsidRPr="000D5AB9">
        <w:rPr>
          <w:rFonts w:cs="Times New Roman"/>
        </w:rPr>
        <w:t>CRPD-t</w:t>
      </w:r>
      <w:proofErr w:type="spellEnd"/>
      <w:r w:rsidRPr="000D5AB9">
        <w:rPr>
          <w:rFonts w:cs="Times New Roman"/>
        </w:rPr>
        <w:t xml:space="preserve"> kihirdető 2007. évi XCII. törvény a „segítség” terminussal adja vissza.</w:t>
      </w:r>
    </w:p>
  </w:footnote>
  <w:footnote w:id="146">
    <w:p w14:paraId="2F1FE63B" w14:textId="77777777" w:rsidR="002D0384" w:rsidRPr="000D5AB9" w:rsidRDefault="002D0384" w:rsidP="00F16C60">
      <w:pPr>
        <w:rPr>
          <w:rFonts w:cs="Times New Roman"/>
          <w:sz w:val="20"/>
          <w:szCs w:val="20"/>
        </w:rPr>
      </w:pPr>
      <w:r w:rsidRPr="000D5AB9">
        <w:rPr>
          <w:rStyle w:val="Lbjegyzet-hivatkozs"/>
          <w:rFonts w:cs="Times New Roman"/>
          <w:sz w:val="20"/>
          <w:szCs w:val="20"/>
        </w:rPr>
        <w:footnoteRef/>
      </w:r>
      <w:r w:rsidRPr="000D5AB9">
        <w:rPr>
          <w:rFonts w:cs="Times New Roman"/>
          <w:sz w:val="20"/>
          <w:szCs w:val="20"/>
        </w:rPr>
        <w:t xml:space="preserve"> United Nations, Office of the High Commissioner for Human Rights: </w:t>
      </w:r>
      <w:r w:rsidRPr="000D5AB9">
        <w:rPr>
          <w:rFonts w:cs="Times New Roman"/>
          <w:i/>
          <w:sz w:val="20"/>
          <w:szCs w:val="20"/>
        </w:rPr>
        <w:t>From Exclusion to Equality Realizing the rights of persons with disabilities: Handbook for Parliamentarians on the Convention on the Rights of Persons with Disabilities and its Optional Protocol</w:t>
      </w:r>
      <w:r w:rsidRPr="000D5AB9">
        <w:rPr>
          <w:rFonts w:cs="Times New Roman"/>
          <w:sz w:val="20"/>
          <w:szCs w:val="20"/>
        </w:rPr>
        <w:t>. Geneva, 2007. 90-91.</w:t>
      </w:r>
    </w:p>
  </w:footnote>
  <w:footnote w:id="147">
    <w:p w14:paraId="75D03647" w14:textId="77777777" w:rsidR="002D0384" w:rsidRPr="000D5AB9" w:rsidRDefault="002D0384" w:rsidP="005541DC">
      <w:pPr>
        <w:pStyle w:val="Lbjegyzetszveg"/>
        <w:rPr>
          <w:rFonts w:cs="Times New Roman"/>
        </w:rPr>
      </w:pPr>
      <w:r w:rsidRPr="000D5AB9">
        <w:rPr>
          <w:rStyle w:val="Lbjegyzet-hivatkozs"/>
          <w:rFonts w:cs="Times New Roman"/>
        </w:rPr>
        <w:footnoteRef/>
      </w:r>
      <w:r w:rsidRPr="000D5AB9">
        <w:rPr>
          <w:rFonts w:cs="Times New Roman"/>
        </w:rPr>
        <w:t xml:space="preserve"> Lásd például: Michael BACH, Lana KERZNER: </w:t>
      </w:r>
      <w:r w:rsidRPr="000D5AB9">
        <w:rPr>
          <w:rFonts w:cs="Times New Roman"/>
          <w:i/>
        </w:rPr>
        <w:t>A New Paradigm for Protecting Autonomy and the Right to legal Capacity</w:t>
      </w:r>
      <w:r w:rsidRPr="000D5AB9">
        <w:rPr>
          <w:rFonts w:cs="Times New Roman"/>
        </w:rPr>
        <w:t>. Prepared for the Law Comm</w:t>
      </w:r>
      <w:r>
        <w:rPr>
          <w:rFonts w:cs="Times New Roman"/>
        </w:rPr>
        <w:t>ission of Ontario. 2010.</w:t>
      </w:r>
      <w:r w:rsidRPr="000D5AB9">
        <w:rPr>
          <w:rFonts w:cs="Times New Roman"/>
        </w:rPr>
        <w:t xml:space="preserve">; Robert GORDON: The Emergence of Assisted (Supported) Decision-Making in the Canadian Law of Adult Guardianship and Substitute Decision-Making, In: </w:t>
      </w:r>
      <w:r w:rsidRPr="000D5AB9">
        <w:rPr>
          <w:rFonts w:cs="Times New Roman"/>
          <w:i/>
        </w:rPr>
        <w:t>International Journal of Law and Psychiatry</w:t>
      </w:r>
      <w:r w:rsidRPr="000D5AB9">
        <w:rPr>
          <w:rFonts w:cs="Times New Roman"/>
        </w:rPr>
        <w:t>, 2000, 23.</w:t>
      </w:r>
    </w:p>
  </w:footnote>
  <w:footnote w:id="148">
    <w:p w14:paraId="4FBF419F"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Lásd pl. CRPD/C/GC/1.</w:t>
      </w:r>
    </w:p>
  </w:footnote>
  <w:footnote w:id="149">
    <w:p w14:paraId="7745461A"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A támogatott döntéshozatal alapelveivel kapcsolatosan magyar nyelven lásd: Gombos Gábor-Hoffman István- Könczei György- Nagy Zita- Szabó Gyula: </w:t>
      </w:r>
      <w:r w:rsidRPr="000D5AB9">
        <w:rPr>
          <w:rFonts w:cs="Times New Roman"/>
          <w:i/>
        </w:rPr>
        <w:t>A támogatott döntéshozatal elmélete és gyakorlata</w:t>
      </w:r>
      <w:r w:rsidRPr="000D5AB9">
        <w:rPr>
          <w:rFonts w:cs="Times New Roman"/>
        </w:rPr>
        <w:t xml:space="preserve">. Eötvös Loránd Tudományegyetem Bárczi Gusztáv Gyógypedagógiai Kar, Budapest, 2009.; Jakab Nóra: </w:t>
      </w:r>
      <w:r w:rsidRPr="000D5AB9">
        <w:rPr>
          <w:rFonts w:cs="Times New Roman"/>
          <w:i/>
        </w:rPr>
        <w:t>A támogatott döntéshozatal elméleti és gyakorlati kérdései Kanadában.</w:t>
      </w:r>
      <w:r w:rsidRPr="000D5AB9">
        <w:rPr>
          <w:rFonts w:cs="Times New Roman"/>
        </w:rPr>
        <w:t xml:space="preserve"> </w:t>
      </w:r>
      <w:r w:rsidRPr="000D5AB9">
        <w:rPr>
          <w:rFonts w:cs="Times New Roman"/>
          <w:iCs/>
        </w:rPr>
        <w:t>Sectio Juridica et Politica, Miskolc, Tomus XXIX/2., 2011,447-458. old.</w:t>
      </w:r>
    </w:p>
  </w:footnote>
  <w:footnote w:id="150">
    <w:p w14:paraId="379F4F61" w14:textId="25945D4C" w:rsidR="002D0384" w:rsidRPr="000D5AB9" w:rsidRDefault="002D0384" w:rsidP="0058092F">
      <w:pPr>
        <w:pStyle w:val="Lbjegyzetszveg"/>
        <w:rPr>
          <w:rFonts w:cs="Times New Roman"/>
        </w:rPr>
      </w:pPr>
      <w:r w:rsidRPr="000D5AB9">
        <w:rPr>
          <w:rStyle w:val="Lbjegyzet-hivatkozs"/>
          <w:rFonts w:cs="Times New Roman"/>
        </w:rPr>
        <w:footnoteRef/>
      </w:r>
      <w:r w:rsidRPr="000D5AB9">
        <w:rPr>
          <w:rFonts w:cs="Times New Roman"/>
        </w:rPr>
        <w:t xml:space="preserve"> Open Dialogue UK. </w:t>
      </w:r>
      <w:hyperlink r:id="rId17" w:history="1">
        <w:r w:rsidRPr="000D5AB9">
          <w:rPr>
            <w:rStyle w:val="Hiperhivatkozs"/>
            <w:rFonts w:cs="Times New Roman"/>
          </w:rPr>
          <w:t>http://opendialogueapproach.co.uk/</w:t>
        </w:r>
      </w:hyperlink>
      <w:r w:rsidRPr="000D5AB9">
        <w:rPr>
          <w:rFonts w:cs="Times New Roman"/>
        </w:rPr>
        <w:t xml:space="preserve"> </w:t>
      </w:r>
      <w:r>
        <w:rPr>
          <w:rFonts w:cs="Times New Roman"/>
        </w:rPr>
        <w:t xml:space="preserve">(2016. 04. 26.). </w:t>
      </w:r>
      <w:r w:rsidRPr="000D5AB9">
        <w:rPr>
          <w:rFonts w:cs="Times New Roman"/>
        </w:rPr>
        <w:t xml:space="preserve">A Nyílt Párbeszédről bővebben: Jaakko SEIKKULA and Tom Erik AMKIL: </w:t>
      </w:r>
      <w:r w:rsidRPr="000D5AB9">
        <w:rPr>
          <w:rFonts w:cs="Times New Roman"/>
          <w:i/>
        </w:rPr>
        <w:t>Open Dialogues and Anticipations – Respecting Otherness in the Present Moment</w:t>
      </w:r>
      <w:r w:rsidR="001D1FC2">
        <w:rPr>
          <w:rFonts w:cs="Times New Roman"/>
        </w:rPr>
        <w:t>. THL</w:t>
      </w:r>
      <w:r w:rsidRPr="000D5AB9">
        <w:rPr>
          <w:rFonts w:cs="Times New Roman"/>
        </w:rPr>
        <w:t xml:space="preserve">, 2013. </w:t>
      </w:r>
    </w:p>
  </w:footnote>
  <w:footnote w:id="151">
    <w:p w14:paraId="75B5007F"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Jaakko SEIKKULA, Birgitta ALAKARE, Jukka AALTONEN: </w:t>
      </w:r>
      <w:r w:rsidRPr="000D5AB9">
        <w:rPr>
          <w:rFonts w:cs="Times New Roman"/>
          <w:lang w:val="en-AU"/>
        </w:rPr>
        <w:t xml:space="preserve">A two year follow-up on open dialogue treatment in first episode psychosis: need for hospitalization and neuroleptic medication decreases. In: </w:t>
      </w:r>
      <w:r w:rsidRPr="000D5AB9">
        <w:rPr>
          <w:rFonts w:cs="Times New Roman"/>
          <w:i/>
          <w:lang w:val="en-AU"/>
        </w:rPr>
        <w:t>Social and Clinical Psychiatry</w:t>
      </w:r>
      <w:r w:rsidRPr="000D5AB9">
        <w:rPr>
          <w:rFonts w:cs="Times New Roman"/>
          <w:lang w:val="en-AU"/>
        </w:rPr>
        <w:t xml:space="preserve">. </w:t>
      </w:r>
      <w:proofErr w:type="gramStart"/>
      <w:r w:rsidRPr="000D5AB9">
        <w:rPr>
          <w:rFonts w:cs="Times New Roman"/>
          <w:lang w:val="en-AU"/>
        </w:rPr>
        <w:t>2000, 10(2), 20.</w:t>
      </w:r>
      <w:proofErr w:type="gramEnd"/>
      <w:r w:rsidRPr="000D5AB9">
        <w:rPr>
          <w:rFonts w:cs="Times New Roman"/>
          <w:lang w:val="en-AU"/>
        </w:rPr>
        <w:t xml:space="preserve"> [a </w:t>
      </w:r>
      <w:proofErr w:type="spellStart"/>
      <w:r w:rsidRPr="000D5AB9">
        <w:rPr>
          <w:rFonts w:cs="Times New Roman"/>
          <w:lang w:val="en-AU"/>
        </w:rPr>
        <w:t>továbbiakban</w:t>
      </w:r>
      <w:proofErr w:type="spellEnd"/>
      <w:r w:rsidRPr="000D5AB9">
        <w:rPr>
          <w:rFonts w:cs="Times New Roman"/>
          <w:lang w:val="en-AU"/>
        </w:rPr>
        <w:t>: SEIKKULA et al. (2000)]</w:t>
      </w:r>
    </w:p>
  </w:footnote>
  <w:footnote w:id="152">
    <w:p w14:paraId="3BE0F42F"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r w:rsidRPr="000D5AB9">
        <w:rPr>
          <w:rFonts w:cs="Times New Roman"/>
          <w:i/>
        </w:rPr>
        <w:t>Open Dialogue: An Alternative, Finnish Approach to Healing Psychosis</w:t>
      </w:r>
      <w:r w:rsidRPr="000D5AB9">
        <w:rPr>
          <w:rFonts w:cs="Times New Roman"/>
        </w:rPr>
        <w:t xml:space="preserve">, by Daniel Mackler. </w:t>
      </w:r>
      <w:hyperlink r:id="rId18" w:history="1">
        <w:r w:rsidRPr="000D5AB9">
          <w:rPr>
            <w:rStyle w:val="Hiperhivatkozs"/>
            <w:rFonts w:cs="Times New Roman"/>
          </w:rPr>
          <w:t>http://wildtruth.net/dvd/opendialogue/</w:t>
        </w:r>
      </w:hyperlink>
      <w:r w:rsidRPr="000D5AB9">
        <w:rPr>
          <w:rFonts w:cs="Times New Roman"/>
        </w:rPr>
        <w:t xml:space="preserve"> </w:t>
      </w:r>
      <w:r>
        <w:rPr>
          <w:rFonts w:cs="Times New Roman"/>
        </w:rPr>
        <w:t>(2016. 04. 26.)</w:t>
      </w:r>
      <w:r w:rsidRPr="000D5AB9">
        <w:rPr>
          <w:rFonts w:cs="Times New Roman"/>
        </w:rPr>
        <w:t xml:space="preserve">. Mackler további filmjei a felépülésről: </w:t>
      </w:r>
      <w:hyperlink r:id="rId19" w:history="1">
        <w:r w:rsidRPr="000D5AB9">
          <w:rPr>
            <w:rStyle w:val="Hiperhivatkozs"/>
            <w:rFonts w:cs="Times New Roman"/>
          </w:rPr>
          <w:t>http://wildtruth.net/dvd/</w:t>
        </w:r>
      </w:hyperlink>
      <w:r w:rsidRPr="000D5AB9">
        <w:rPr>
          <w:rFonts w:cs="Times New Roman"/>
        </w:rPr>
        <w:t xml:space="preserve"> </w:t>
      </w:r>
      <w:r>
        <w:rPr>
          <w:rFonts w:cs="Times New Roman"/>
        </w:rPr>
        <w:t>(2016. 04. 26.).</w:t>
      </w:r>
    </w:p>
  </w:footnote>
  <w:footnote w:id="153">
    <w:p w14:paraId="40048637" w14:textId="77777777" w:rsidR="002D0384" w:rsidRPr="000D5AB9" w:rsidRDefault="002D0384" w:rsidP="003A53FF">
      <w:pPr>
        <w:pStyle w:val="Lbjegyzetszveg"/>
        <w:rPr>
          <w:rFonts w:cs="Times New Roman"/>
        </w:rPr>
      </w:pPr>
      <w:r w:rsidRPr="000D5AB9">
        <w:rPr>
          <w:rStyle w:val="Lbjegyzet-hivatkozs"/>
          <w:rFonts w:cs="Times New Roman"/>
        </w:rPr>
        <w:footnoteRef/>
      </w:r>
      <w:r w:rsidRPr="000D5AB9">
        <w:rPr>
          <w:rFonts w:cs="Times New Roman"/>
        </w:rPr>
        <w:t xml:space="preserve"> Jaakko SEIKKULA, Birgitta ALAKARE, Jukka AALTONEN: </w:t>
      </w:r>
      <w:r w:rsidRPr="000D5AB9">
        <w:rPr>
          <w:rFonts w:cs="Times New Roman"/>
          <w:lang w:val="en-AU"/>
        </w:rPr>
        <w:t xml:space="preserve">A two year follow-up on open dialogue treatment in first episode psychosis: need for hospitalization and neuroleptic medication decreases. In: </w:t>
      </w:r>
      <w:r w:rsidRPr="0048127A">
        <w:rPr>
          <w:rFonts w:cs="Times New Roman"/>
          <w:i/>
          <w:lang w:val="en-AU"/>
        </w:rPr>
        <w:t xml:space="preserve">Social and Clinical Psychiatry. </w:t>
      </w:r>
      <w:r w:rsidRPr="000D5AB9">
        <w:rPr>
          <w:rFonts w:cs="Times New Roman"/>
          <w:lang w:val="en-AU"/>
        </w:rPr>
        <w:t>2000, 10(2), 20-29.</w:t>
      </w:r>
    </w:p>
  </w:footnote>
  <w:footnote w:id="154">
    <w:p w14:paraId="089DCF57" w14:textId="73E95D28"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r>
        <w:rPr>
          <w:rFonts w:cs="Times New Roman"/>
          <w:lang w:val="en-AU"/>
        </w:rPr>
        <w:t xml:space="preserve">SEIKKULA et al. (2000) </w:t>
      </w:r>
      <w:proofErr w:type="spellStart"/>
      <w:r>
        <w:rPr>
          <w:rFonts w:cs="Times New Roman"/>
          <w:lang w:val="en-AU"/>
        </w:rPr>
        <w:t>i</w:t>
      </w:r>
      <w:proofErr w:type="spellEnd"/>
      <w:r>
        <w:rPr>
          <w:rFonts w:cs="Times New Roman"/>
          <w:lang w:val="en-AU"/>
        </w:rPr>
        <w:t>.</w:t>
      </w:r>
      <w:r w:rsidRPr="000D5AB9">
        <w:rPr>
          <w:rFonts w:cs="Times New Roman"/>
          <w:lang w:val="en-AU"/>
        </w:rPr>
        <w:t xml:space="preserve"> m. </w:t>
      </w:r>
      <w:r w:rsidRPr="000D5AB9">
        <w:rPr>
          <w:rFonts w:cs="Times New Roman"/>
        </w:rPr>
        <w:t>214-228.</w:t>
      </w:r>
    </w:p>
  </w:footnote>
  <w:footnote w:id="155">
    <w:p w14:paraId="2927EA8A"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227.</w:t>
      </w:r>
    </w:p>
  </w:footnote>
  <w:footnote w:id="156">
    <w:p w14:paraId="0811C620" w14:textId="15DFE969" w:rsidR="002D0384" w:rsidRDefault="002D0384">
      <w:pPr>
        <w:pStyle w:val="Lbjegyzetszveg"/>
      </w:pPr>
      <w:r>
        <w:rPr>
          <w:rStyle w:val="Lbjegyzet-hivatkozs"/>
        </w:rPr>
        <w:footnoteRef/>
      </w:r>
      <w:r>
        <w:t xml:space="preserve"> Bővebben a </w:t>
      </w:r>
      <w:proofErr w:type="spellStart"/>
      <w:r>
        <w:t>KeyRing-ről</w:t>
      </w:r>
      <w:proofErr w:type="spellEnd"/>
      <w:r>
        <w:t xml:space="preserve">: </w:t>
      </w:r>
      <w:hyperlink r:id="rId20" w:history="1">
        <w:r w:rsidRPr="00144553">
          <w:rPr>
            <w:rStyle w:val="Hiperhivatkozs"/>
          </w:rPr>
          <w:t>http://www.keyring.org/Home</w:t>
        </w:r>
      </w:hyperlink>
      <w:r w:rsidRPr="00144553">
        <w:t xml:space="preserve"> (2016. 04. 26.).</w:t>
      </w:r>
    </w:p>
  </w:footnote>
  <w:footnote w:id="157">
    <w:p w14:paraId="167D29B5" w14:textId="3C283226" w:rsidR="002D0384" w:rsidRDefault="002D0384">
      <w:pPr>
        <w:pStyle w:val="Lbjegyzetszveg"/>
      </w:pPr>
      <w:r>
        <w:rPr>
          <w:rStyle w:val="Lbjegyzet-hivatkozs"/>
        </w:rPr>
        <w:footnoteRef/>
      </w:r>
      <w:r>
        <w:t xml:space="preserve"> Bővebben a </w:t>
      </w:r>
      <w:proofErr w:type="spellStart"/>
      <w:r>
        <w:t>Vela</w:t>
      </w:r>
      <w:proofErr w:type="spellEnd"/>
      <w:r>
        <w:t xml:space="preserve"> </w:t>
      </w:r>
      <w:proofErr w:type="spellStart"/>
      <w:r>
        <w:t>Microboard-ról</w:t>
      </w:r>
      <w:proofErr w:type="spellEnd"/>
      <w:r>
        <w:t xml:space="preserve">: </w:t>
      </w:r>
      <w:hyperlink r:id="rId21" w:history="1">
        <w:r w:rsidRPr="00DD2038">
          <w:rPr>
            <w:rStyle w:val="Hiperhivatkozs"/>
          </w:rPr>
          <w:t>http://www.velacanada.org/</w:t>
        </w:r>
      </w:hyperlink>
      <w:r w:rsidRPr="00DD2038">
        <w:t xml:space="preserve"> (2016. 04. 26.).</w:t>
      </w:r>
      <w:r>
        <w:t xml:space="preserve"> A </w:t>
      </w:r>
      <w:proofErr w:type="spellStart"/>
      <w:r>
        <w:t>Microboard-okról</w:t>
      </w:r>
      <w:proofErr w:type="spellEnd"/>
      <w:r>
        <w:t xml:space="preserve"> általában: </w:t>
      </w:r>
      <w:hyperlink r:id="rId22" w:history="1">
        <w:r w:rsidRPr="00610A1A">
          <w:rPr>
            <w:rStyle w:val="Hiperhivatkozs"/>
          </w:rPr>
          <w:t>http://www.communityworks.info/articles/microboard.htm</w:t>
        </w:r>
      </w:hyperlink>
      <w:r>
        <w:t xml:space="preserve"> </w:t>
      </w:r>
      <w:r w:rsidRPr="00DD2038">
        <w:t>(2016. 04. 26.).</w:t>
      </w:r>
    </w:p>
  </w:footnote>
  <w:footnote w:id="158">
    <w:p w14:paraId="6F842E8F" w14:textId="7E643A1E" w:rsidR="002D0384" w:rsidRDefault="002D0384">
      <w:pPr>
        <w:pStyle w:val="Lbjegyzetszveg"/>
      </w:pPr>
      <w:r>
        <w:rPr>
          <w:rStyle w:val="Lbjegyzet-hivatkozs"/>
        </w:rPr>
        <w:footnoteRef/>
      </w:r>
      <w:r>
        <w:t xml:space="preserve"> Bővebben a </w:t>
      </w:r>
      <w:proofErr w:type="spellStart"/>
      <w:r>
        <w:t>Circles</w:t>
      </w:r>
      <w:proofErr w:type="spellEnd"/>
      <w:r>
        <w:t xml:space="preserve"> </w:t>
      </w:r>
      <w:proofErr w:type="spellStart"/>
      <w:r>
        <w:t>Network-ről</w:t>
      </w:r>
      <w:proofErr w:type="spellEnd"/>
      <w:r>
        <w:t xml:space="preserve">: </w:t>
      </w:r>
      <w:hyperlink r:id="rId23" w:history="1">
        <w:r w:rsidRPr="004E7CDD">
          <w:rPr>
            <w:rStyle w:val="Hiperhivatkozs"/>
          </w:rPr>
          <w:t>http://www.circlesnetwork.org.uk/</w:t>
        </w:r>
      </w:hyperlink>
      <w:r w:rsidRPr="004E7CDD">
        <w:t>(2016. 04. 26.).</w:t>
      </w:r>
    </w:p>
  </w:footnote>
  <w:footnote w:id="159">
    <w:p w14:paraId="662C6168"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A személyes gondoskodást nyújtó szociális intézmények szakmai feladatairól és működésük feltételeiről szóló 1/2000. (I. 7.) SzCsM rendelet. 39/A. §.</w:t>
      </w:r>
    </w:p>
  </w:footnote>
  <w:footnote w:id="160">
    <w:p w14:paraId="4FA1B742"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Daniel B. FISHER, Laurie AHERN: Personal Assistance in Community Existence (PACE): An Alternative to PACT. In: </w:t>
      </w:r>
      <w:r w:rsidRPr="000D5AB9">
        <w:rPr>
          <w:rFonts w:cs="Times New Roman"/>
          <w:i/>
        </w:rPr>
        <w:t>Ethical Human Sciences and Services.</w:t>
      </w:r>
      <w:r w:rsidRPr="000D5AB9">
        <w:rPr>
          <w:rFonts w:cs="Times New Roman"/>
        </w:rPr>
        <w:t xml:space="preserve"> Vol 2(2). 2000. 87-88. [a továb</w:t>
      </w:r>
      <w:r>
        <w:rPr>
          <w:rFonts w:cs="Times New Roman"/>
        </w:rPr>
        <w:t>biakban: FISHER, AHERN (2000)].</w:t>
      </w:r>
    </w:p>
  </w:footnote>
  <w:footnote w:id="161">
    <w:p w14:paraId="0A004F13"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Uo. 88-89</w:t>
      </w:r>
      <w:r>
        <w:rPr>
          <w:rFonts w:cs="Times New Roman"/>
        </w:rPr>
        <w:t>.</w:t>
      </w:r>
    </w:p>
  </w:footnote>
  <w:footnote w:id="162">
    <w:p w14:paraId="48E63530"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Ld. például: KOVÁCS (2007) i. m. 355-356. Kovács szerint „[a] nem-önkéntes ambuláns kezelés jogi lehetőségének megteremtése […] sürgető feladat Magyarországon.”</w:t>
      </w:r>
    </w:p>
  </w:footnote>
  <w:footnote w:id="163">
    <w:p w14:paraId="42934F80"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KOVÁCS József: A nem önkéntes pszichiátriai kezelés és a véleményszabadság. In: </w:t>
      </w:r>
      <w:r w:rsidRPr="000D5AB9">
        <w:rPr>
          <w:rFonts w:cs="Times New Roman"/>
          <w:i/>
        </w:rPr>
        <w:t>Fundamentum.</w:t>
      </w:r>
      <w:r w:rsidRPr="000D5AB9">
        <w:rPr>
          <w:rFonts w:cs="Times New Roman"/>
        </w:rPr>
        <w:t xml:space="preserve"> 2004/1. 39.</w:t>
      </w:r>
    </w:p>
  </w:footnote>
  <w:footnote w:id="164">
    <w:p w14:paraId="285DABE8"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r w:rsidRPr="00EE0204">
        <w:rPr>
          <w:rFonts w:cs="Times New Roman"/>
        </w:rPr>
        <w:t xml:space="preserve">FISHER, AHERN (2000) i. m. </w:t>
      </w:r>
      <w:r w:rsidRPr="000D5AB9">
        <w:rPr>
          <w:rFonts w:cs="Times New Roman"/>
        </w:rPr>
        <w:t>89.</w:t>
      </w:r>
    </w:p>
  </w:footnote>
  <w:footnote w:id="165">
    <w:p w14:paraId="2C98A4EC"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w:t>
      </w:r>
      <w:r>
        <w:rPr>
          <w:rFonts w:cs="Times New Roman"/>
        </w:rPr>
        <w:t>Uo.</w:t>
      </w:r>
      <w:r w:rsidRPr="000D5AB9">
        <w:rPr>
          <w:rFonts w:cs="Times New Roman"/>
        </w:rPr>
        <w:t xml:space="preserve"> 90.</w:t>
      </w:r>
    </w:p>
  </w:footnote>
  <w:footnote w:id="166">
    <w:p w14:paraId="76FBA9B4" w14:textId="77777777" w:rsidR="002D0384" w:rsidRPr="000D5AB9" w:rsidRDefault="002D0384" w:rsidP="0055412E">
      <w:pPr>
        <w:pStyle w:val="Lbjegyzetszveg"/>
        <w:rPr>
          <w:rFonts w:cs="Times New Roman"/>
        </w:rPr>
      </w:pPr>
      <w:r w:rsidRPr="000D5AB9">
        <w:rPr>
          <w:rStyle w:val="Lbjegyzet-hivatkozs"/>
          <w:rFonts w:cs="Times New Roman"/>
        </w:rPr>
        <w:footnoteRef/>
      </w:r>
      <w:r w:rsidRPr="000D5AB9">
        <w:rPr>
          <w:rFonts w:cs="Times New Roman"/>
        </w:rPr>
        <w:t xml:space="preserve"> Laurie AHERN – Daniel FISHER: </w:t>
      </w:r>
      <w:r w:rsidRPr="000D5AB9">
        <w:rPr>
          <w:rFonts w:cs="Times New Roman"/>
          <w:i/>
        </w:rPr>
        <w:t>Personal Assistance in Community Existence. A Recovery Guide.</w:t>
      </w:r>
      <w:r w:rsidRPr="000D5AB9">
        <w:rPr>
          <w:rFonts w:cs="Times New Roman"/>
        </w:rPr>
        <w:t xml:space="preserve"> National Empowerment Center. </w:t>
      </w:r>
      <w:hyperlink r:id="rId24" w:history="1">
        <w:r w:rsidRPr="000D5AB9">
          <w:rPr>
            <w:rStyle w:val="Hiperhivatkozs"/>
            <w:rFonts w:cs="Times New Roman"/>
          </w:rPr>
          <w:t>https://www.power2u.org/downloads/pace_manual.pdf</w:t>
        </w:r>
      </w:hyperlink>
      <w:r w:rsidRPr="000D5AB9">
        <w:rPr>
          <w:rFonts w:cs="Times New Roman"/>
        </w:rPr>
        <w:t xml:space="preserve"> </w:t>
      </w:r>
      <w:r>
        <w:rPr>
          <w:rFonts w:cs="Times New Roman"/>
        </w:rPr>
        <w:t>(2016. 04. 26.).</w:t>
      </w:r>
    </w:p>
  </w:footnote>
  <w:footnote w:id="167">
    <w:p w14:paraId="24DE269D" w14:textId="77777777" w:rsidR="002D0384" w:rsidRPr="002F0EFC" w:rsidRDefault="002D0384" w:rsidP="002F0EFC">
      <w:pPr>
        <w:pStyle w:val="Lbjegyzetszveg"/>
      </w:pPr>
      <w:r>
        <w:rPr>
          <w:rStyle w:val="Lbjegyzet-hivatkozs"/>
        </w:rPr>
        <w:footnoteRef/>
      </w:r>
      <w:r>
        <w:t xml:space="preserve"> </w:t>
      </w:r>
      <w:proofErr w:type="spellStart"/>
      <w:r w:rsidRPr="002F0EFC">
        <w:t>Maths</w:t>
      </w:r>
      <w:proofErr w:type="spellEnd"/>
      <w:r w:rsidRPr="002F0EFC">
        <w:t xml:space="preserve"> JESPERSON: </w:t>
      </w:r>
      <w:proofErr w:type="spellStart"/>
      <w:r w:rsidRPr="002F0EFC">
        <w:rPr>
          <w:i/>
        </w:rPr>
        <w:t>PO-Skåne</w:t>
      </w:r>
      <w:proofErr w:type="spellEnd"/>
      <w:r w:rsidRPr="002F0EFC">
        <w:rPr>
          <w:i/>
        </w:rPr>
        <w:t xml:space="preserve"> - </w:t>
      </w:r>
      <w:proofErr w:type="spellStart"/>
      <w:r w:rsidRPr="002F0EFC">
        <w:rPr>
          <w:i/>
        </w:rPr>
        <w:t>personal</w:t>
      </w:r>
      <w:proofErr w:type="spellEnd"/>
      <w:r w:rsidRPr="002F0EFC">
        <w:rPr>
          <w:i/>
        </w:rPr>
        <w:t xml:space="preserve"> </w:t>
      </w:r>
      <w:proofErr w:type="spellStart"/>
      <w:r w:rsidRPr="002F0EFC">
        <w:rPr>
          <w:i/>
        </w:rPr>
        <w:t>ombudspersons</w:t>
      </w:r>
      <w:proofErr w:type="spellEnd"/>
      <w:r w:rsidRPr="002F0EFC">
        <w:rPr>
          <w:i/>
        </w:rPr>
        <w:t xml:space="preserve"> </w:t>
      </w:r>
      <w:proofErr w:type="spellStart"/>
      <w:r w:rsidRPr="002F0EFC">
        <w:rPr>
          <w:i/>
        </w:rPr>
        <w:t>in</w:t>
      </w:r>
      <w:proofErr w:type="spellEnd"/>
      <w:r w:rsidRPr="002F0EFC">
        <w:rPr>
          <w:i/>
        </w:rPr>
        <w:t xml:space="preserve"> </w:t>
      </w:r>
      <w:proofErr w:type="spellStart"/>
      <w:r w:rsidRPr="002F0EFC">
        <w:rPr>
          <w:i/>
        </w:rPr>
        <w:t>Skåne</w:t>
      </w:r>
      <w:proofErr w:type="spellEnd"/>
      <w:r w:rsidRPr="002F0EFC">
        <w:rPr>
          <w:i/>
        </w:rPr>
        <w:t xml:space="preserve">. A service </w:t>
      </w:r>
      <w:proofErr w:type="spellStart"/>
      <w:r w:rsidRPr="002F0EFC">
        <w:rPr>
          <w:i/>
        </w:rPr>
        <w:t>which</w:t>
      </w:r>
      <w:proofErr w:type="spellEnd"/>
      <w:r w:rsidRPr="002F0EFC">
        <w:rPr>
          <w:i/>
        </w:rPr>
        <w:t xml:space="preserve"> </w:t>
      </w:r>
      <w:proofErr w:type="spellStart"/>
      <w:r w:rsidRPr="002F0EFC">
        <w:rPr>
          <w:i/>
        </w:rPr>
        <w:t>offers</w:t>
      </w:r>
      <w:proofErr w:type="spellEnd"/>
      <w:r w:rsidRPr="002F0EFC">
        <w:rPr>
          <w:i/>
        </w:rPr>
        <w:t xml:space="preserve"> </w:t>
      </w:r>
      <w:proofErr w:type="spellStart"/>
      <w:r w:rsidRPr="002F0EFC">
        <w:rPr>
          <w:i/>
        </w:rPr>
        <w:t>supported</w:t>
      </w:r>
      <w:proofErr w:type="spellEnd"/>
      <w:r w:rsidRPr="002F0EFC">
        <w:rPr>
          <w:i/>
        </w:rPr>
        <w:t xml:space="preserve"> </w:t>
      </w:r>
      <w:proofErr w:type="spellStart"/>
      <w:r w:rsidRPr="002F0EFC">
        <w:rPr>
          <w:i/>
        </w:rPr>
        <w:t>self-decision</w:t>
      </w:r>
      <w:proofErr w:type="spellEnd"/>
      <w:r w:rsidRPr="002F0EFC">
        <w:rPr>
          <w:i/>
        </w:rPr>
        <w:t xml:space="preserve"> </w:t>
      </w:r>
      <w:proofErr w:type="spellStart"/>
      <w:r w:rsidRPr="002F0EFC">
        <w:rPr>
          <w:i/>
        </w:rPr>
        <w:t>for</w:t>
      </w:r>
      <w:proofErr w:type="spellEnd"/>
      <w:r w:rsidRPr="002F0EFC">
        <w:rPr>
          <w:i/>
        </w:rPr>
        <w:t xml:space="preserve"> </w:t>
      </w:r>
      <w:proofErr w:type="spellStart"/>
      <w:r w:rsidRPr="002F0EFC">
        <w:rPr>
          <w:i/>
        </w:rPr>
        <w:t>persons</w:t>
      </w:r>
      <w:proofErr w:type="spellEnd"/>
      <w:r w:rsidRPr="002F0EFC">
        <w:rPr>
          <w:i/>
        </w:rPr>
        <w:t xml:space="preserve"> </w:t>
      </w:r>
      <w:proofErr w:type="spellStart"/>
      <w:r w:rsidRPr="002F0EFC">
        <w:rPr>
          <w:i/>
        </w:rPr>
        <w:t>with</w:t>
      </w:r>
      <w:proofErr w:type="spellEnd"/>
      <w:r w:rsidRPr="002F0EFC">
        <w:rPr>
          <w:i/>
        </w:rPr>
        <w:t xml:space="preserve"> </w:t>
      </w:r>
      <w:proofErr w:type="spellStart"/>
      <w:r w:rsidRPr="002F0EFC">
        <w:rPr>
          <w:i/>
        </w:rPr>
        <w:t>severe</w:t>
      </w:r>
      <w:proofErr w:type="spellEnd"/>
      <w:r w:rsidRPr="002F0EFC">
        <w:rPr>
          <w:i/>
        </w:rPr>
        <w:t xml:space="preserve"> </w:t>
      </w:r>
      <w:proofErr w:type="spellStart"/>
      <w:r w:rsidRPr="002F0EFC">
        <w:rPr>
          <w:i/>
        </w:rPr>
        <w:t>psychosocial</w:t>
      </w:r>
      <w:proofErr w:type="spellEnd"/>
      <w:r w:rsidRPr="002F0EFC">
        <w:rPr>
          <w:i/>
        </w:rPr>
        <w:t xml:space="preserve"> </w:t>
      </w:r>
      <w:proofErr w:type="spellStart"/>
      <w:r w:rsidRPr="002F0EFC">
        <w:rPr>
          <w:i/>
        </w:rPr>
        <w:t>disabilities</w:t>
      </w:r>
      <w:proofErr w:type="spellEnd"/>
      <w:r w:rsidRPr="002F0EFC">
        <w:t>.</w:t>
      </w:r>
    </w:p>
    <w:p w14:paraId="797C1073" w14:textId="77777777" w:rsidR="002D0384" w:rsidRPr="002F0EFC" w:rsidRDefault="002D0384" w:rsidP="002F0EFC">
      <w:pPr>
        <w:pStyle w:val="Lbjegyzetszveg"/>
      </w:pPr>
      <w:hyperlink r:id="rId25" w:history="1">
        <w:r w:rsidRPr="002F0EFC">
          <w:rPr>
            <w:rStyle w:val="Hiperhivatkozs"/>
          </w:rPr>
          <w:t>http://www.peoplewho.org/documents/jesperson.decisionmaking.doc</w:t>
        </w:r>
      </w:hyperlink>
      <w:r w:rsidRPr="002F0EFC">
        <w:t xml:space="preserve"> (2016. 04. 26.). Hazánkban az „Új életvezetési modell a </w:t>
      </w:r>
      <w:proofErr w:type="spellStart"/>
      <w:r w:rsidRPr="002F0EFC">
        <w:t>pszichoszociális</w:t>
      </w:r>
      <w:proofErr w:type="spellEnd"/>
      <w:r w:rsidRPr="002F0EFC">
        <w:t xml:space="preserve"> fogyatékossággal élők számára a támogatott lakhatásban intézményi férőhely kiváltás” című Fogyatékos Személyek Esélyegyenlőségéért Közhasznú Nonprofit Kft. tanulmány (2014) tesz javaslatot a </w:t>
      </w:r>
      <w:proofErr w:type="spellStart"/>
      <w:r w:rsidRPr="002F0EFC">
        <w:t>Personal</w:t>
      </w:r>
      <w:proofErr w:type="spellEnd"/>
      <w:r w:rsidRPr="002F0EFC">
        <w:t xml:space="preserve"> Ombudsman rendszer bevezetésére. 47-48.</w:t>
      </w:r>
    </w:p>
    <w:p w14:paraId="2E39E515" w14:textId="71D1BE5D" w:rsidR="002D0384" w:rsidRDefault="002D0384">
      <w:pPr>
        <w:pStyle w:val="Lbjegyzetszveg"/>
      </w:pPr>
      <w:hyperlink r:id="rId26" w:history="1">
        <w:r w:rsidRPr="002F0EFC">
          <w:rPr>
            <w:rStyle w:val="Hiperhivatkozs"/>
          </w:rPr>
          <w:t>http://fszk.hu/wp-content/uploads/2015/09/Eletvezetesi_szolgaltatasi_modell_2014_10.pdf</w:t>
        </w:r>
      </w:hyperlink>
      <w:r w:rsidRPr="002F0EFC">
        <w:t xml:space="preserve"> (2016. 04. 26.).</w:t>
      </w:r>
    </w:p>
  </w:footnote>
  <w:footnote w:id="168">
    <w:p w14:paraId="3F3E37B5"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D</w:t>
      </w:r>
      <w:r>
        <w:rPr>
          <w:rFonts w:cs="Times New Roman"/>
        </w:rPr>
        <w:t>OUGHTY</w:t>
      </w:r>
      <w:r w:rsidRPr="000D5AB9">
        <w:rPr>
          <w:rFonts w:cs="Times New Roman"/>
        </w:rPr>
        <w:t xml:space="preserve"> C. – T</w:t>
      </w:r>
      <w:r>
        <w:rPr>
          <w:rFonts w:cs="Times New Roman"/>
        </w:rPr>
        <w:t>SE</w:t>
      </w:r>
      <w:r w:rsidRPr="000D5AB9">
        <w:rPr>
          <w:rFonts w:cs="Times New Roman"/>
        </w:rPr>
        <w:t xml:space="preserve"> S: Can Consumer-Led MHS be Equally Effective? An Integrative Review of CLMH Services in High-Income Countries</w:t>
      </w:r>
      <w:r w:rsidRPr="000D5AB9">
        <w:rPr>
          <w:rFonts w:cs="Times New Roman"/>
          <w:i/>
        </w:rPr>
        <w:t>.</w:t>
      </w:r>
      <w:r w:rsidRPr="000D5AB9">
        <w:rPr>
          <w:rFonts w:cs="Times New Roman"/>
        </w:rPr>
        <w:t xml:space="preserve"> In: </w:t>
      </w:r>
      <w:r w:rsidRPr="000D5AB9">
        <w:rPr>
          <w:rFonts w:cs="Times New Roman"/>
          <w:i/>
        </w:rPr>
        <w:t>Community Mental Health Journal.</w:t>
      </w:r>
      <w:r w:rsidRPr="000D5AB9">
        <w:rPr>
          <w:rFonts w:cs="Times New Roman"/>
        </w:rPr>
        <w:t xml:space="preserve"> Vol. 47(3), 2010. 252; S</w:t>
      </w:r>
      <w:r>
        <w:rPr>
          <w:rFonts w:cs="Times New Roman"/>
        </w:rPr>
        <w:t>OLOMON</w:t>
      </w:r>
      <w:r w:rsidRPr="000D5AB9">
        <w:rPr>
          <w:rFonts w:cs="Times New Roman"/>
        </w:rPr>
        <w:t xml:space="preserve"> P: Peer support/peer provided services underlying processes, benefits and critical ingredients. In: </w:t>
      </w:r>
      <w:r w:rsidRPr="000D5AB9">
        <w:rPr>
          <w:rFonts w:cs="Times New Roman"/>
          <w:i/>
        </w:rPr>
        <w:t>Psychiatric Rehabilitation Journal.</w:t>
      </w:r>
      <w:r w:rsidRPr="000D5AB9">
        <w:rPr>
          <w:rFonts w:cs="Times New Roman"/>
        </w:rPr>
        <w:t xml:space="preserve"> Vol. 27(4), 2004. 392; J</w:t>
      </w:r>
      <w:r>
        <w:rPr>
          <w:rFonts w:cs="Times New Roman"/>
        </w:rPr>
        <w:t>OHNSON</w:t>
      </w:r>
      <w:r w:rsidRPr="000D5AB9">
        <w:rPr>
          <w:rFonts w:cs="Times New Roman"/>
        </w:rPr>
        <w:t xml:space="preserve"> S and others: Acute in-patient psychiatry: residential alternatives to hospital admission. In: </w:t>
      </w:r>
      <w:r w:rsidRPr="000D5AB9">
        <w:rPr>
          <w:rFonts w:cs="Times New Roman"/>
          <w:i/>
        </w:rPr>
        <w:t>Psychiatric Bulletin.</w:t>
      </w:r>
      <w:r w:rsidRPr="000D5AB9">
        <w:rPr>
          <w:rFonts w:cs="Times New Roman"/>
        </w:rPr>
        <w:t xml:space="preserve"> Vol. 31, 2007. 262.</w:t>
      </w:r>
    </w:p>
  </w:footnote>
  <w:footnote w:id="169">
    <w:p w14:paraId="50EBDECA" w14:textId="77777777" w:rsidR="002D0384" w:rsidRPr="000D5AB9" w:rsidRDefault="002D0384">
      <w:pPr>
        <w:pStyle w:val="Lbjegyzetszveg"/>
        <w:rPr>
          <w:rFonts w:cs="Times New Roman"/>
        </w:rPr>
      </w:pPr>
      <w:r w:rsidRPr="000D5AB9">
        <w:rPr>
          <w:rStyle w:val="Lbjegyzet-hivatkozs"/>
          <w:rFonts w:cs="Times New Roman"/>
        </w:rPr>
        <w:footnoteRef/>
      </w:r>
      <w:r w:rsidRPr="000D5AB9">
        <w:rPr>
          <w:rFonts w:cs="Times New Roman"/>
        </w:rPr>
        <w:t xml:space="preserve"> D</w:t>
      </w:r>
      <w:r>
        <w:rPr>
          <w:rFonts w:cs="Times New Roman"/>
        </w:rPr>
        <w:t>ELMAN</w:t>
      </w:r>
      <w:r w:rsidRPr="000D5AB9">
        <w:rPr>
          <w:rFonts w:cs="Times New Roman"/>
        </w:rPr>
        <w:t xml:space="preserve"> J, D</w:t>
      </w:r>
      <w:r>
        <w:rPr>
          <w:rFonts w:cs="Times New Roman"/>
        </w:rPr>
        <w:t>ELMAN</w:t>
      </w:r>
      <w:r w:rsidRPr="000D5AB9">
        <w:rPr>
          <w:rFonts w:cs="Times New Roman"/>
        </w:rPr>
        <w:t>, D.R., V</w:t>
      </w:r>
      <w:r>
        <w:rPr>
          <w:rFonts w:cs="Times New Roman"/>
        </w:rPr>
        <w:t>EZINA</w:t>
      </w:r>
      <w:r w:rsidRPr="000D5AB9">
        <w:rPr>
          <w:rFonts w:cs="Times New Roman"/>
        </w:rPr>
        <w:t>, B.R., &amp; P</w:t>
      </w:r>
      <w:r>
        <w:rPr>
          <w:rFonts w:cs="Times New Roman"/>
        </w:rPr>
        <w:t>ISELLI</w:t>
      </w:r>
      <w:r w:rsidRPr="000D5AB9">
        <w:rPr>
          <w:rFonts w:cs="Times New Roman"/>
        </w:rPr>
        <w:t xml:space="preserve">, J.: Peer led Recovery Learning Communities: Expanding Social Integration Opportunities for People with Lived Experience of Psychiatric Disability and Emotional Distress. In: </w:t>
      </w:r>
      <w:r w:rsidRPr="000D5AB9">
        <w:rPr>
          <w:rFonts w:cs="Times New Roman"/>
          <w:i/>
        </w:rPr>
        <w:t>Global Journal of Community Psychology Practice</w:t>
      </w:r>
      <w:r w:rsidRPr="000D5AB9">
        <w:rPr>
          <w:rFonts w:cs="Times New Roman"/>
        </w:rPr>
        <w:t>. Vol. 5(1), 2014. 1.</w:t>
      </w:r>
    </w:p>
  </w:footnote>
  <w:footnote w:id="170">
    <w:p w14:paraId="03CEC287" w14:textId="77777777" w:rsidR="002D0384" w:rsidRDefault="002D0384">
      <w:pPr>
        <w:pStyle w:val="Lbjegyzetszveg"/>
      </w:pPr>
      <w:r w:rsidRPr="000D5AB9">
        <w:rPr>
          <w:rStyle w:val="Lbjegyzet-hivatkozs"/>
          <w:rFonts w:cs="Times New Roman"/>
        </w:rPr>
        <w:footnoteRef/>
      </w:r>
      <w:r w:rsidRPr="000D5AB9">
        <w:rPr>
          <w:rFonts w:cs="Times New Roman"/>
        </w:rPr>
        <w:t xml:space="preserve"> D</w:t>
      </w:r>
      <w:r>
        <w:rPr>
          <w:rFonts w:cs="Times New Roman"/>
        </w:rPr>
        <w:t>IAMOND</w:t>
      </w:r>
      <w:r w:rsidRPr="000D5AB9">
        <w:rPr>
          <w:rFonts w:cs="Times New Roman"/>
        </w:rPr>
        <w:t xml:space="preserve"> S.: What Makes Us a Community? In: LeF</w:t>
      </w:r>
      <w:r>
        <w:rPr>
          <w:rFonts w:cs="Times New Roman"/>
        </w:rPr>
        <w:t>FRANÇOIS</w:t>
      </w:r>
      <w:r w:rsidRPr="000D5AB9">
        <w:rPr>
          <w:rFonts w:cs="Times New Roman"/>
        </w:rPr>
        <w:t>, B.A., M</w:t>
      </w:r>
      <w:r>
        <w:rPr>
          <w:rFonts w:cs="Times New Roman"/>
        </w:rPr>
        <w:t>ENZIES</w:t>
      </w:r>
      <w:r w:rsidRPr="000D5AB9">
        <w:rPr>
          <w:rFonts w:cs="Times New Roman"/>
        </w:rPr>
        <w:t>, R. and R</w:t>
      </w:r>
      <w:r>
        <w:rPr>
          <w:rFonts w:cs="Times New Roman"/>
        </w:rPr>
        <w:t>EAUME</w:t>
      </w:r>
      <w:r w:rsidRPr="000D5AB9">
        <w:rPr>
          <w:rFonts w:cs="Times New Roman"/>
        </w:rPr>
        <w:t xml:space="preserve">, G. (ed) </w:t>
      </w:r>
      <w:r w:rsidRPr="000D5AB9">
        <w:rPr>
          <w:rFonts w:cs="Times New Roman"/>
          <w:i/>
        </w:rPr>
        <w:t>Mad Matters: A Critical Reader in Canadian Mad Studies.</w:t>
      </w:r>
      <w:r w:rsidRPr="000D5AB9">
        <w:rPr>
          <w:rFonts w:cs="Times New Roman"/>
        </w:rPr>
        <w:t xml:space="preserve"> Toronto, Canadian Scholars Press Inc. 2013. 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503360"/>
    <w:multiLevelType w:val="hybridMultilevel"/>
    <w:tmpl w:val="249A84D0"/>
    <w:lvl w:ilvl="0" w:tplc="63788F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0E203CD"/>
    <w:multiLevelType w:val="hybridMultilevel"/>
    <w:tmpl w:val="5DFCE016"/>
    <w:lvl w:ilvl="0" w:tplc="DE72511E">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0EF7405"/>
    <w:multiLevelType w:val="hybridMultilevel"/>
    <w:tmpl w:val="675CB4DE"/>
    <w:lvl w:ilvl="0" w:tplc="4D065D10">
      <w:start w:val="1"/>
      <w:numFmt w:val="lowerRoman"/>
      <w:lvlText w:val="%1."/>
      <w:lvlJc w:val="left"/>
      <w:pPr>
        <w:ind w:left="1080" w:hanging="720"/>
      </w:pPr>
      <w:rPr>
        <w:rFonts w:ascii="Times New Roman" w:eastAsiaTheme="minorHAnsi" w:hAnsi="Times New Roman"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C537E85"/>
    <w:multiLevelType w:val="hybridMultilevel"/>
    <w:tmpl w:val="123033E8"/>
    <w:lvl w:ilvl="0" w:tplc="B38C7C6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030204"/>
    <w:multiLevelType w:val="hybridMultilevel"/>
    <w:tmpl w:val="0CF43542"/>
    <w:lvl w:ilvl="0" w:tplc="C47EB8B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F1B05A6"/>
    <w:multiLevelType w:val="hybridMultilevel"/>
    <w:tmpl w:val="112C121E"/>
    <w:lvl w:ilvl="0" w:tplc="4050C13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A4561F6"/>
    <w:multiLevelType w:val="hybridMultilevel"/>
    <w:tmpl w:val="20000E3C"/>
    <w:lvl w:ilvl="0" w:tplc="E93C4D3A">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A507A52"/>
    <w:multiLevelType w:val="hybridMultilevel"/>
    <w:tmpl w:val="938E2634"/>
    <w:lvl w:ilvl="0" w:tplc="0676330E">
      <w:start w:val="1"/>
      <w:numFmt w:val="lowerRoman"/>
      <w:lvlText w:val="%1."/>
      <w:lvlJc w:val="left"/>
      <w:pPr>
        <w:ind w:left="1080" w:hanging="720"/>
      </w:pPr>
      <w:rPr>
        <w:rFonts w:ascii="Times New Roman" w:eastAsiaTheme="minorHAnsi" w:hAnsi="Times New Roman"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EC57746"/>
    <w:multiLevelType w:val="hybridMultilevel"/>
    <w:tmpl w:val="08A282AA"/>
    <w:lvl w:ilvl="0" w:tplc="E0EA0B7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F6C76EE"/>
    <w:multiLevelType w:val="hybridMultilevel"/>
    <w:tmpl w:val="7BD628C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FFB77C0"/>
    <w:multiLevelType w:val="hybridMultilevel"/>
    <w:tmpl w:val="28EEC168"/>
    <w:lvl w:ilvl="0" w:tplc="B52CEF9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0811307"/>
    <w:multiLevelType w:val="hybridMultilevel"/>
    <w:tmpl w:val="BBBA76D8"/>
    <w:lvl w:ilvl="0" w:tplc="81807B7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0846286"/>
    <w:multiLevelType w:val="hybridMultilevel"/>
    <w:tmpl w:val="BCC66784"/>
    <w:lvl w:ilvl="0" w:tplc="B8146A50">
      <w:start w:val="1"/>
      <w:numFmt w:val="decimal"/>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3BA971CF"/>
    <w:multiLevelType w:val="hybridMultilevel"/>
    <w:tmpl w:val="CA9EC2CE"/>
    <w:lvl w:ilvl="0" w:tplc="860E6CA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C0A1061"/>
    <w:multiLevelType w:val="multilevel"/>
    <w:tmpl w:val="16C2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23444F"/>
    <w:multiLevelType w:val="hybridMultilevel"/>
    <w:tmpl w:val="A55C24B4"/>
    <w:lvl w:ilvl="0" w:tplc="F124882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0C04792"/>
    <w:multiLevelType w:val="hybridMultilevel"/>
    <w:tmpl w:val="EE48EEB0"/>
    <w:lvl w:ilvl="0" w:tplc="8E84E4C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12A318F"/>
    <w:multiLevelType w:val="hybridMultilevel"/>
    <w:tmpl w:val="E732F9CE"/>
    <w:lvl w:ilvl="0" w:tplc="35403FD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402484F"/>
    <w:multiLevelType w:val="hybridMultilevel"/>
    <w:tmpl w:val="67FC9022"/>
    <w:lvl w:ilvl="0" w:tplc="85F805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5395E00"/>
    <w:multiLevelType w:val="multilevel"/>
    <w:tmpl w:val="C4D8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0115D2"/>
    <w:multiLevelType w:val="hybridMultilevel"/>
    <w:tmpl w:val="4734FE42"/>
    <w:lvl w:ilvl="0" w:tplc="91F298B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8C14795"/>
    <w:multiLevelType w:val="hybridMultilevel"/>
    <w:tmpl w:val="CE621A9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8C1537C"/>
    <w:multiLevelType w:val="hybridMultilevel"/>
    <w:tmpl w:val="D9705C98"/>
    <w:lvl w:ilvl="0" w:tplc="6BB8051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CCA3251"/>
    <w:multiLevelType w:val="hybridMultilevel"/>
    <w:tmpl w:val="59441600"/>
    <w:lvl w:ilvl="0" w:tplc="5B9872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D284995"/>
    <w:multiLevelType w:val="hybridMultilevel"/>
    <w:tmpl w:val="4672F306"/>
    <w:lvl w:ilvl="0" w:tplc="17BE2C5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F0E22B8"/>
    <w:multiLevelType w:val="hybridMultilevel"/>
    <w:tmpl w:val="C8E8005E"/>
    <w:lvl w:ilvl="0" w:tplc="2E4211F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1073E5F"/>
    <w:multiLevelType w:val="hybridMultilevel"/>
    <w:tmpl w:val="F8F677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B8A1819"/>
    <w:multiLevelType w:val="hybridMultilevel"/>
    <w:tmpl w:val="53A68932"/>
    <w:lvl w:ilvl="0" w:tplc="826842DC">
      <w:start w:val="201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078191A"/>
    <w:multiLevelType w:val="hybridMultilevel"/>
    <w:tmpl w:val="9F726F3C"/>
    <w:lvl w:ilvl="0" w:tplc="6652EAA0">
      <w:start w:val="201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C304679"/>
    <w:multiLevelType w:val="hybridMultilevel"/>
    <w:tmpl w:val="8932E31A"/>
    <w:lvl w:ilvl="0" w:tplc="0D107EF8">
      <w:start w:val="1"/>
      <w:numFmt w:val="low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C960650"/>
    <w:multiLevelType w:val="hybridMultilevel"/>
    <w:tmpl w:val="C13CC360"/>
    <w:lvl w:ilvl="0" w:tplc="AA8E858C">
      <w:start w:val="1"/>
      <w:numFmt w:val="lowerRoman"/>
      <w:lvlText w:val="%1."/>
      <w:lvlJc w:val="left"/>
      <w:pPr>
        <w:ind w:left="1080" w:hanging="720"/>
      </w:pPr>
      <w:rPr>
        <w:rFonts w:ascii="Times New Roman" w:eastAsiaTheme="minorHAnsi" w:hAnsi="Times New Roman"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22E27D5"/>
    <w:multiLevelType w:val="hybridMultilevel"/>
    <w:tmpl w:val="993AF59E"/>
    <w:lvl w:ilvl="0" w:tplc="AD9CB0D6">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52C5E92"/>
    <w:multiLevelType w:val="hybridMultilevel"/>
    <w:tmpl w:val="1368C0A4"/>
    <w:lvl w:ilvl="0" w:tplc="FE3E53D2">
      <w:start w:val="201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EEA3CA0"/>
    <w:multiLevelType w:val="hybridMultilevel"/>
    <w:tmpl w:val="7F4E445C"/>
    <w:lvl w:ilvl="0" w:tplc="ECD2C9AE">
      <w:start w:val="1"/>
      <w:numFmt w:val="lowerRoman"/>
      <w:lvlText w:val="%1."/>
      <w:lvlJc w:val="left"/>
      <w:pPr>
        <w:ind w:left="1080" w:hanging="72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3"/>
  </w:num>
  <w:num w:numId="3">
    <w:abstractNumId w:val="12"/>
  </w:num>
  <w:num w:numId="4">
    <w:abstractNumId w:val="22"/>
  </w:num>
  <w:num w:numId="5">
    <w:abstractNumId w:val="25"/>
  </w:num>
  <w:num w:numId="6">
    <w:abstractNumId w:val="19"/>
  </w:num>
  <w:num w:numId="7">
    <w:abstractNumId w:val="29"/>
  </w:num>
  <w:num w:numId="8">
    <w:abstractNumId w:val="31"/>
  </w:num>
  <w:num w:numId="9">
    <w:abstractNumId w:val="5"/>
  </w:num>
  <w:num w:numId="10">
    <w:abstractNumId w:val="23"/>
  </w:num>
  <w:num w:numId="11">
    <w:abstractNumId w:val="6"/>
  </w:num>
  <w:num w:numId="12">
    <w:abstractNumId w:val="20"/>
  </w:num>
  <w:num w:numId="13">
    <w:abstractNumId w:val="33"/>
  </w:num>
  <w:num w:numId="14">
    <w:abstractNumId w:val="34"/>
  </w:num>
  <w:num w:numId="15">
    <w:abstractNumId w:val="32"/>
  </w:num>
  <w:num w:numId="16">
    <w:abstractNumId w:val="24"/>
  </w:num>
  <w:num w:numId="17">
    <w:abstractNumId w:val="36"/>
  </w:num>
  <w:num w:numId="18">
    <w:abstractNumId w:val="4"/>
  </w:num>
  <w:num w:numId="19">
    <w:abstractNumId w:val="28"/>
  </w:num>
  <w:num w:numId="20">
    <w:abstractNumId w:val="7"/>
  </w:num>
  <w:num w:numId="21">
    <w:abstractNumId w:val="9"/>
  </w:num>
  <w:num w:numId="22">
    <w:abstractNumId w:val="10"/>
  </w:num>
  <w:num w:numId="23">
    <w:abstractNumId w:val="27"/>
  </w:num>
  <w:num w:numId="24">
    <w:abstractNumId w:val="14"/>
  </w:num>
  <w:num w:numId="25">
    <w:abstractNumId w:val="21"/>
  </w:num>
  <w:num w:numId="26">
    <w:abstractNumId w:val="17"/>
  </w:num>
  <w:num w:numId="27">
    <w:abstractNumId w:val="11"/>
  </w:num>
  <w:num w:numId="28">
    <w:abstractNumId w:val="2"/>
  </w:num>
  <w:num w:numId="29">
    <w:abstractNumId w:val="1"/>
  </w:num>
  <w:num w:numId="30">
    <w:abstractNumId w:val="16"/>
  </w:num>
  <w:num w:numId="31">
    <w:abstractNumId w:val="26"/>
  </w:num>
  <w:num w:numId="32">
    <w:abstractNumId w:val="13"/>
  </w:num>
  <w:num w:numId="33">
    <w:abstractNumId w:val="8"/>
  </w:num>
  <w:num w:numId="34">
    <w:abstractNumId w:val="0"/>
  </w:num>
  <w:num w:numId="35">
    <w:abstractNumId w:val="30"/>
  </w:num>
  <w:num w:numId="36">
    <w:abstractNumId w:val="1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2A"/>
    <w:rsid w:val="0001347F"/>
    <w:rsid w:val="00024C55"/>
    <w:rsid w:val="0002580C"/>
    <w:rsid w:val="0002668C"/>
    <w:rsid w:val="00026D0E"/>
    <w:rsid w:val="00030D12"/>
    <w:rsid w:val="000320F3"/>
    <w:rsid w:val="000345C4"/>
    <w:rsid w:val="00037C3C"/>
    <w:rsid w:val="00037DD4"/>
    <w:rsid w:val="00041DDC"/>
    <w:rsid w:val="00043761"/>
    <w:rsid w:val="000466BD"/>
    <w:rsid w:val="00051499"/>
    <w:rsid w:val="0005176B"/>
    <w:rsid w:val="000732FD"/>
    <w:rsid w:val="000802F3"/>
    <w:rsid w:val="00081D1C"/>
    <w:rsid w:val="00086E9B"/>
    <w:rsid w:val="00091119"/>
    <w:rsid w:val="000912C0"/>
    <w:rsid w:val="00091336"/>
    <w:rsid w:val="00092B97"/>
    <w:rsid w:val="0009342C"/>
    <w:rsid w:val="000935E4"/>
    <w:rsid w:val="0009442D"/>
    <w:rsid w:val="00094BBB"/>
    <w:rsid w:val="00095E4D"/>
    <w:rsid w:val="000A3B6C"/>
    <w:rsid w:val="000A749F"/>
    <w:rsid w:val="000A78F9"/>
    <w:rsid w:val="000B1D8A"/>
    <w:rsid w:val="000B427C"/>
    <w:rsid w:val="000B4405"/>
    <w:rsid w:val="000C4D8E"/>
    <w:rsid w:val="000D5AB9"/>
    <w:rsid w:val="000D64DB"/>
    <w:rsid w:val="000F22C7"/>
    <w:rsid w:val="001023CD"/>
    <w:rsid w:val="00102952"/>
    <w:rsid w:val="00112DD5"/>
    <w:rsid w:val="001136E6"/>
    <w:rsid w:val="001210AE"/>
    <w:rsid w:val="00122462"/>
    <w:rsid w:val="00133546"/>
    <w:rsid w:val="00134FB3"/>
    <w:rsid w:val="0013605A"/>
    <w:rsid w:val="00140E63"/>
    <w:rsid w:val="00144553"/>
    <w:rsid w:val="001453EE"/>
    <w:rsid w:val="00145860"/>
    <w:rsid w:val="0015156A"/>
    <w:rsid w:val="001522C8"/>
    <w:rsid w:val="001578FB"/>
    <w:rsid w:val="00157F7F"/>
    <w:rsid w:val="001606B2"/>
    <w:rsid w:val="00164340"/>
    <w:rsid w:val="0016584D"/>
    <w:rsid w:val="0016665A"/>
    <w:rsid w:val="00170BCF"/>
    <w:rsid w:val="00171D87"/>
    <w:rsid w:val="001738EF"/>
    <w:rsid w:val="00186018"/>
    <w:rsid w:val="00186B4C"/>
    <w:rsid w:val="0019089F"/>
    <w:rsid w:val="00192062"/>
    <w:rsid w:val="0019243F"/>
    <w:rsid w:val="001955A2"/>
    <w:rsid w:val="00196112"/>
    <w:rsid w:val="00196FED"/>
    <w:rsid w:val="001A1ECD"/>
    <w:rsid w:val="001A236D"/>
    <w:rsid w:val="001A39B6"/>
    <w:rsid w:val="001A6396"/>
    <w:rsid w:val="001C1A2B"/>
    <w:rsid w:val="001C2C0F"/>
    <w:rsid w:val="001C5245"/>
    <w:rsid w:val="001D074A"/>
    <w:rsid w:val="001D1FC2"/>
    <w:rsid w:val="001D7D02"/>
    <w:rsid w:val="001E6F02"/>
    <w:rsid w:val="001F26FD"/>
    <w:rsid w:val="001F3BE9"/>
    <w:rsid w:val="001F70E3"/>
    <w:rsid w:val="00200D0E"/>
    <w:rsid w:val="002039B2"/>
    <w:rsid w:val="00203D9D"/>
    <w:rsid w:val="002218CF"/>
    <w:rsid w:val="00230EF3"/>
    <w:rsid w:val="002322F2"/>
    <w:rsid w:val="00233949"/>
    <w:rsid w:val="00233C86"/>
    <w:rsid w:val="0023659D"/>
    <w:rsid w:val="0023782E"/>
    <w:rsid w:val="002379AE"/>
    <w:rsid w:val="00243393"/>
    <w:rsid w:val="00252A68"/>
    <w:rsid w:val="00252E5D"/>
    <w:rsid w:val="0025325D"/>
    <w:rsid w:val="00257AF8"/>
    <w:rsid w:val="00257EF4"/>
    <w:rsid w:val="00263CBD"/>
    <w:rsid w:val="00264317"/>
    <w:rsid w:val="0027262C"/>
    <w:rsid w:val="00273D62"/>
    <w:rsid w:val="002741A5"/>
    <w:rsid w:val="00274A6E"/>
    <w:rsid w:val="00274CE5"/>
    <w:rsid w:val="0028174B"/>
    <w:rsid w:val="00293387"/>
    <w:rsid w:val="00295992"/>
    <w:rsid w:val="002A3BF0"/>
    <w:rsid w:val="002A4830"/>
    <w:rsid w:val="002B52F9"/>
    <w:rsid w:val="002B7190"/>
    <w:rsid w:val="002C13CB"/>
    <w:rsid w:val="002C1D0B"/>
    <w:rsid w:val="002C26E8"/>
    <w:rsid w:val="002C7AAC"/>
    <w:rsid w:val="002D0384"/>
    <w:rsid w:val="002D5A06"/>
    <w:rsid w:val="002D6C4E"/>
    <w:rsid w:val="002E3F64"/>
    <w:rsid w:val="002F0EFC"/>
    <w:rsid w:val="002F19D6"/>
    <w:rsid w:val="002F3761"/>
    <w:rsid w:val="002F5B3F"/>
    <w:rsid w:val="002F7FE2"/>
    <w:rsid w:val="00306CF9"/>
    <w:rsid w:val="00307143"/>
    <w:rsid w:val="003071D8"/>
    <w:rsid w:val="003148B5"/>
    <w:rsid w:val="00320C47"/>
    <w:rsid w:val="003217B4"/>
    <w:rsid w:val="00321F3C"/>
    <w:rsid w:val="0033087A"/>
    <w:rsid w:val="00330B6F"/>
    <w:rsid w:val="00333ABF"/>
    <w:rsid w:val="003363DC"/>
    <w:rsid w:val="003505D5"/>
    <w:rsid w:val="00356ACC"/>
    <w:rsid w:val="00361D9F"/>
    <w:rsid w:val="00362EAD"/>
    <w:rsid w:val="00366425"/>
    <w:rsid w:val="00374B41"/>
    <w:rsid w:val="00383C7D"/>
    <w:rsid w:val="003843AB"/>
    <w:rsid w:val="00384F9F"/>
    <w:rsid w:val="00387AD2"/>
    <w:rsid w:val="00396AC8"/>
    <w:rsid w:val="003A0E8F"/>
    <w:rsid w:val="003A1926"/>
    <w:rsid w:val="003A36D4"/>
    <w:rsid w:val="003A53FF"/>
    <w:rsid w:val="003B30E9"/>
    <w:rsid w:val="003B477F"/>
    <w:rsid w:val="003B757D"/>
    <w:rsid w:val="003C2D9E"/>
    <w:rsid w:val="003C2FE7"/>
    <w:rsid w:val="003D49C2"/>
    <w:rsid w:val="003D53C4"/>
    <w:rsid w:val="003E0B2B"/>
    <w:rsid w:val="003E0C44"/>
    <w:rsid w:val="003E1385"/>
    <w:rsid w:val="003E5452"/>
    <w:rsid w:val="003E5580"/>
    <w:rsid w:val="003F0903"/>
    <w:rsid w:val="003F0F4A"/>
    <w:rsid w:val="003F1EAF"/>
    <w:rsid w:val="003F754D"/>
    <w:rsid w:val="00400B63"/>
    <w:rsid w:val="00430A12"/>
    <w:rsid w:val="004345FD"/>
    <w:rsid w:val="004375A8"/>
    <w:rsid w:val="00443226"/>
    <w:rsid w:val="0044732B"/>
    <w:rsid w:val="00447DC1"/>
    <w:rsid w:val="00451056"/>
    <w:rsid w:val="00453CF6"/>
    <w:rsid w:val="00461E2C"/>
    <w:rsid w:val="004736CE"/>
    <w:rsid w:val="00474478"/>
    <w:rsid w:val="004751CB"/>
    <w:rsid w:val="00476208"/>
    <w:rsid w:val="0048127A"/>
    <w:rsid w:val="00482C69"/>
    <w:rsid w:val="00483E5A"/>
    <w:rsid w:val="004862B5"/>
    <w:rsid w:val="004A3CB9"/>
    <w:rsid w:val="004A6EEA"/>
    <w:rsid w:val="004B37AA"/>
    <w:rsid w:val="004C0CD9"/>
    <w:rsid w:val="004D04A5"/>
    <w:rsid w:val="004D6F0C"/>
    <w:rsid w:val="004E5B9A"/>
    <w:rsid w:val="004E6A9B"/>
    <w:rsid w:val="004E7CDD"/>
    <w:rsid w:val="004F3E52"/>
    <w:rsid w:val="00503C37"/>
    <w:rsid w:val="00505C96"/>
    <w:rsid w:val="00521048"/>
    <w:rsid w:val="0052199B"/>
    <w:rsid w:val="005224FC"/>
    <w:rsid w:val="00526456"/>
    <w:rsid w:val="00526F7E"/>
    <w:rsid w:val="00536442"/>
    <w:rsid w:val="00537975"/>
    <w:rsid w:val="00547DC9"/>
    <w:rsid w:val="00553019"/>
    <w:rsid w:val="00553263"/>
    <w:rsid w:val="0055412E"/>
    <w:rsid w:val="005541DC"/>
    <w:rsid w:val="005761B3"/>
    <w:rsid w:val="0058092F"/>
    <w:rsid w:val="00594BF1"/>
    <w:rsid w:val="005976EA"/>
    <w:rsid w:val="005A3F77"/>
    <w:rsid w:val="005A4394"/>
    <w:rsid w:val="005A7053"/>
    <w:rsid w:val="005B3451"/>
    <w:rsid w:val="005B55F5"/>
    <w:rsid w:val="005C1906"/>
    <w:rsid w:val="005C3D0C"/>
    <w:rsid w:val="005C42AE"/>
    <w:rsid w:val="005C6999"/>
    <w:rsid w:val="005D275C"/>
    <w:rsid w:val="005E3630"/>
    <w:rsid w:val="005E6696"/>
    <w:rsid w:val="005F35EC"/>
    <w:rsid w:val="005F6E47"/>
    <w:rsid w:val="00600113"/>
    <w:rsid w:val="00604190"/>
    <w:rsid w:val="00604F9B"/>
    <w:rsid w:val="00607104"/>
    <w:rsid w:val="00612250"/>
    <w:rsid w:val="0061750C"/>
    <w:rsid w:val="0062251F"/>
    <w:rsid w:val="00630F4B"/>
    <w:rsid w:val="00643D6F"/>
    <w:rsid w:val="00651A08"/>
    <w:rsid w:val="0067358A"/>
    <w:rsid w:val="00676FC3"/>
    <w:rsid w:val="006770A0"/>
    <w:rsid w:val="00681818"/>
    <w:rsid w:val="006833DB"/>
    <w:rsid w:val="00685C6D"/>
    <w:rsid w:val="00685CC6"/>
    <w:rsid w:val="00694C4E"/>
    <w:rsid w:val="006A15DA"/>
    <w:rsid w:val="006A6F29"/>
    <w:rsid w:val="006B51C2"/>
    <w:rsid w:val="006C4555"/>
    <w:rsid w:val="006C5010"/>
    <w:rsid w:val="006F0DF2"/>
    <w:rsid w:val="00704ADC"/>
    <w:rsid w:val="0070788C"/>
    <w:rsid w:val="00720BAE"/>
    <w:rsid w:val="00734E91"/>
    <w:rsid w:val="0074412C"/>
    <w:rsid w:val="007451C4"/>
    <w:rsid w:val="007469D2"/>
    <w:rsid w:val="00750F30"/>
    <w:rsid w:val="00755BBE"/>
    <w:rsid w:val="007609F5"/>
    <w:rsid w:val="00763575"/>
    <w:rsid w:val="00763AD6"/>
    <w:rsid w:val="00763E43"/>
    <w:rsid w:val="007705D6"/>
    <w:rsid w:val="007818CB"/>
    <w:rsid w:val="00784326"/>
    <w:rsid w:val="00784B11"/>
    <w:rsid w:val="00784F4A"/>
    <w:rsid w:val="00784F4F"/>
    <w:rsid w:val="00792849"/>
    <w:rsid w:val="00795A58"/>
    <w:rsid w:val="007A6C3F"/>
    <w:rsid w:val="007A7170"/>
    <w:rsid w:val="007B24CB"/>
    <w:rsid w:val="007C039A"/>
    <w:rsid w:val="007C2E8F"/>
    <w:rsid w:val="007C408B"/>
    <w:rsid w:val="007C622C"/>
    <w:rsid w:val="007D0C73"/>
    <w:rsid w:val="007E084D"/>
    <w:rsid w:val="007F2C75"/>
    <w:rsid w:val="007F3FBB"/>
    <w:rsid w:val="00801FA6"/>
    <w:rsid w:val="00804684"/>
    <w:rsid w:val="00816A34"/>
    <w:rsid w:val="0082798E"/>
    <w:rsid w:val="0083181F"/>
    <w:rsid w:val="0084101D"/>
    <w:rsid w:val="008421F0"/>
    <w:rsid w:val="00843604"/>
    <w:rsid w:val="00846DA3"/>
    <w:rsid w:val="008501A7"/>
    <w:rsid w:val="008525E5"/>
    <w:rsid w:val="00873BE2"/>
    <w:rsid w:val="00874C7A"/>
    <w:rsid w:val="008757F0"/>
    <w:rsid w:val="0088527F"/>
    <w:rsid w:val="0089516C"/>
    <w:rsid w:val="00897F74"/>
    <w:rsid w:val="008A6E21"/>
    <w:rsid w:val="008A73BF"/>
    <w:rsid w:val="008A799E"/>
    <w:rsid w:val="008C2235"/>
    <w:rsid w:val="008C5053"/>
    <w:rsid w:val="008C7835"/>
    <w:rsid w:val="008D252D"/>
    <w:rsid w:val="008D4CB8"/>
    <w:rsid w:val="008D64D1"/>
    <w:rsid w:val="008E3442"/>
    <w:rsid w:val="008E56B0"/>
    <w:rsid w:val="008F1B3A"/>
    <w:rsid w:val="008F43F4"/>
    <w:rsid w:val="008F6EDC"/>
    <w:rsid w:val="008F7E44"/>
    <w:rsid w:val="00903CEF"/>
    <w:rsid w:val="0090684B"/>
    <w:rsid w:val="00911B63"/>
    <w:rsid w:val="009201C7"/>
    <w:rsid w:val="0092178D"/>
    <w:rsid w:val="0092589D"/>
    <w:rsid w:val="00926ECE"/>
    <w:rsid w:val="00940008"/>
    <w:rsid w:val="00945807"/>
    <w:rsid w:val="00946013"/>
    <w:rsid w:val="009466E0"/>
    <w:rsid w:val="009543A1"/>
    <w:rsid w:val="009615F6"/>
    <w:rsid w:val="00970FC3"/>
    <w:rsid w:val="00986800"/>
    <w:rsid w:val="00990843"/>
    <w:rsid w:val="0099713D"/>
    <w:rsid w:val="009A0282"/>
    <w:rsid w:val="009A757C"/>
    <w:rsid w:val="009C6B2F"/>
    <w:rsid w:val="009C741A"/>
    <w:rsid w:val="009E0DA3"/>
    <w:rsid w:val="009E5C8A"/>
    <w:rsid w:val="009E7FD0"/>
    <w:rsid w:val="00A01EB3"/>
    <w:rsid w:val="00A05B0A"/>
    <w:rsid w:val="00A07C92"/>
    <w:rsid w:val="00A1017C"/>
    <w:rsid w:val="00A220A5"/>
    <w:rsid w:val="00A220DC"/>
    <w:rsid w:val="00A26615"/>
    <w:rsid w:val="00A26F38"/>
    <w:rsid w:val="00A40168"/>
    <w:rsid w:val="00A471CC"/>
    <w:rsid w:val="00A47536"/>
    <w:rsid w:val="00A51737"/>
    <w:rsid w:val="00A55A72"/>
    <w:rsid w:val="00A604AF"/>
    <w:rsid w:val="00A63C57"/>
    <w:rsid w:val="00A63D4F"/>
    <w:rsid w:val="00A800F6"/>
    <w:rsid w:val="00A829DB"/>
    <w:rsid w:val="00A8668C"/>
    <w:rsid w:val="00A869F6"/>
    <w:rsid w:val="00A90E13"/>
    <w:rsid w:val="00A92417"/>
    <w:rsid w:val="00A962C7"/>
    <w:rsid w:val="00A9691F"/>
    <w:rsid w:val="00AA428A"/>
    <w:rsid w:val="00AA70C3"/>
    <w:rsid w:val="00AB2E11"/>
    <w:rsid w:val="00AB38E4"/>
    <w:rsid w:val="00AB3B35"/>
    <w:rsid w:val="00AC3D8F"/>
    <w:rsid w:val="00AC66EA"/>
    <w:rsid w:val="00AD1946"/>
    <w:rsid w:val="00AD45DB"/>
    <w:rsid w:val="00AE26A7"/>
    <w:rsid w:val="00AE597C"/>
    <w:rsid w:val="00AF3438"/>
    <w:rsid w:val="00AF3BFA"/>
    <w:rsid w:val="00B05E87"/>
    <w:rsid w:val="00B14A5F"/>
    <w:rsid w:val="00B15AEA"/>
    <w:rsid w:val="00B20182"/>
    <w:rsid w:val="00B2155C"/>
    <w:rsid w:val="00B2198D"/>
    <w:rsid w:val="00B26CF1"/>
    <w:rsid w:val="00B322BB"/>
    <w:rsid w:val="00B33934"/>
    <w:rsid w:val="00B509DE"/>
    <w:rsid w:val="00B51C15"/>
    <w:rsid w:val="00B52B6A"/>
    <w:rsid w:val="00B62591"/>
    <w:rsid w:val="00B948AB"/>
    <w:rsid w:val="00B94CC4"/>
    <w:rsid w:val="00BB49DE"/>
    <w:rsid w:val="00BB6FFD"/>
    <w:rsid w:val="00BC66A5"/>
    <w:rsid w:val="00BD442F"/>
    <w:rsid w:val="00BD5AB0"/>
    <w:rsid w:val="00BD7AA6"/>
    <w:rsid w:val="00BE5631"/>
    <w:rsid w:val="00BF0FA9"/>
    <w:rsid w:val="00BF3C8B"/>
    <w:rsid w:val="00BF591A"/>
    <w:rsid w:val="00BF5B74"/>
    <w:rsid w:val="00C01393"/>
    <w:rsid w:val="00C148AA"/>
    <w:rsid w:val="00C20DAC"/>
    <w:rsid w:val="00C31A27"/>
    <w:rsid w:val="00C33FF1"/>
    <w:rsid w:val="00C36677"/>
    <w:rsid w:val="00C4566B"/>
    <w:rsid w:val="00C51EBB"/>
    <w:rsid w:val="00C52D7A"/>
    <w:rsid w:val="00C532D8"/>
    <w:rsid w:val="00C60F71"/>
    <w:rsid w:val="00C6108C"/>
    <w:rsid w:val="00C64948"/>
    <w:rsid w:val="00C6541C"/>
    <w:rsid w:val="00C67B4E"/>
    <w:rsid w:val="00C7128A"/>
    <w:rsid w:val="00C71A05"/>
    <w:rsid w:val="00C74D5C"/>
    <w:rsid w:val="00C80B8E"/>
    <w:rsid w:val="00C850A2"/>
    <w:rsid w:val="00C871A1"/>
    <w:rsid w:val="00CA4B7B"/>
    <w:rsid w:val="00CB1757"/>
    <w:rsid w:val="00CB2081"/>
    <w:rsid w:val="00CC24C4"/>
    <w:rsid w:val="00CD4415"/>
    <w:rsid w:val="00CD4C1D"/>
    <w:rsid w:val="00CF03E8"/>
    <w:rsid w:val="00CF09A6"/>
    <w:rsid w:val="00CF346F"/>
    <w:rsid w:val="00CF4E97"/>
    <w:rsid w:val="00CF742A"/>
    <w:rsid w:val="00D01DDB"/>
    <w:rsid w:val="00D05B58"/>
    <w:rsid w:val="00D07119"/>
    <w:rsid w:val="00D07512"/>
    <w:rsid w:val="00D1069F"/>
    <w:rsid w:val="00D10B1E"/>
    <w:rsid w:val="00D10B8A"/>
    <w:rsid w:val="00D15C25"/>
    <w:rsid w:val="00D24434"/>
    <w:rsid w:val="00D24B20"/>
    <w:rsid w:val="00D33AFA"/>
    <w:rsid w:val="00D341F9"/>
    <w:rsid w:val="00D441E8"/>
    <w:rsid w:val="00D464B3"/>
    <w:rsid w:val="00D51C4C"/>
    <w:rsid w:val="00D634B4"/>
    <w:rsid w:val="00D66731"/>
    <w:rsid w:val="00D676D3"/>
    <w:rsid w:val="00D709B3"/>
    <w:rsid w:val="00D72E9F"/>
    <w:rsid w:val="00D76772"/>
    <w:rsid w:val="00D773FC"/>
    <w:rsid w:val="00DA7DF0"/>
    <w:rsid w:val="00DB016F"/>
    <w:rsid w:val="00DB0AAC"/>
    <w:rsid w:val="00DB2609"/>
    <w:rsid w:val="00DB31DB"/>
    <w:rsid w:val="00DC0F63"/>
    <w:rsid w:val="00DD1F4F"/>
    <w:rsid w:val="00DD2038"/>
    <w:rsid w:val="00DD3C26"/>
    <w:rsid w:val="00DE0471"/>
    <w:rsid w:val="00DF3DC7"/>
    <w:rsid w:val="00DF4890"/>
    <w:rsid w:val="00E007EA"/>
    <w:rsid w:val="00E07A18"/>
    <w:rsid w:val="00E174A6"/>
    <w:rsid w:val="00E2686C"/>
    <w:rsid w:val="00E410C5"/>
    <w:rsid w:val="00E4175E"/>
    <w:rsid w:val="00E43A53"/>
    <w:rsid w:val="00E45859"/>
    <w:rsid w:val="00E60D4D"/>
    <w:rsid w:val="00E62C8E"/>
    <w:rsid w:val="00E73A7A"/>
    <w:rsid w:val="00E73E65"/>
    <w:rsid w:val="00E74F94"/>
    <w:rsid w:val="00E7710A"/>
    <w:rsid w:val="00E84CEE"/>
    <w:rsid w:val="00E868A2"/>
    <w:rsid w:val="00E90F6D"/>
    <w:rsid w:val="00E93847"/>
    <w:rsid w:val="00E93E17"/>
    <w:rsid w:val="00E9424E"/>
    <w:rsid w:val="00EB6192"/>
    <w:rsid w:val="00EB6DCB"/>
    <w:rsid w:val="00EC04F2"/>
    <w:rsid w:val="00EC7CE3"/>
    <w:rsid w:val="00ED50FB"/>
    <w:rsid w:val="00EE0204"/>
    <w:rsid w:val="00EE5D23"/>
    <w:rsid w:val="00EF0285"/>
    <w:rsid w:val="00EF3C8F"/>
    <w:rsid w:val="00EF70D4"/>
    <w:rsid w:val="00EF77CE"/>
    <w:rsid w:val="00F10CA2"/>
    <w:rsid w:val="00F153E2"/>
    <w:rsid w:val="00F16C60"/>
    <w:rsid w:val="00F21C5D"/>
    <w:rsid w:val="00F21D8E"/>
    <w:rsid w:val="00F24E0C"/>
    <w:rsid w:val="00F27C55"/>
    <w:rsid w:val="00F33F73"/>
    <w:rsid w:val="00F3430A"/>
    <w:rsid w:val="00F350C9"/>
    <w:rsid w:val="00F366BB"/>
    <w:rsid w:val="00F4280E"/>
    <w:rsid w:val="00F4538E"/>
    <w:rsid w:val="00F508DD"/>
    <w:rsid w:val="00F60063"/>
    <w:rsid w:val="00F72C69"/>
    <w:rsid w:val="00F82845"/>
    <w:rsid w:val="00F917D0"/>
    <w:rsid w:val="00F91858"/>
    <w:rsid w:val="00F9500B"/>
    <w:rsid w:val="00F95428"/>
    <w:rsid w:val="00F95C11"/>
    <w:rsid w:val="00FA1C17"/>
    <w:rsid w:val="00FA351B"/>
    <w:rsid w:val="00FA6791"/>
    <w:rsid w:val="00FB125F"/>
    <w:rsid w:val="00FD30B1"/>
    <w:rsid w:val="00FE0008"/>
    <w:rsid w:val="00FE12D7"/>
    <w:rsid w:val="00FE5FFB"/>
    <w:rsid w:val="00FE7868"/>
    <w:rsid w:val="00FE7F00"/>
    <w:rsid w:val="00FF2FD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45C4"/>
    <w:pPr>
      <w:spacing w:after="0" w:line="240" w:lineRule="auto"/>
      <w:jc w:val="both"/>
    </w:pPr>
    <w:rPr>
      <w:rFonts w:ascii="Times New Roman" w:hAnsi="Times New Roman"/>
      <w:sz w:val="24"/>
    </w:rPr>
  </w:style>
  <w:style w:type="paragraph" w:styleId="Cmsor1">
    <w:name w:val="heading 1"/>
    <w:basedOn w:val="Norml"/>
    <w:next w:val="Norml"/>
    <w:link w:val="Cmsor1Char"/>
    <w:uiPriority w:val="9"/>
    <w:qFormat/>
    <w:rsid w:val="000B42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62E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3D49C2"/>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7451C4"/>
    <w:rPr>
      <w:sz w:val="20"/>
      <w:szCs w:val="20"/>
    </w:rPr>
  </w:style>
  <w:style w:type="character" w:customStyle="1" w:styleId="LbjegyzetszvegChar">
    <w:name w:val="Lábjegyzetszöveg Char"/>
    <w:basedOn w:val="Bekezdsalapbettpusa"/>
    <w:link w:val="Lbjegyzetszveg"/>
    <w:uiPriority w:val="99"/>
    <w:rsid w:val="007451C4"/>
    <w:rPr>
      <w:rFonts w:ascii="Times New Roman" w:hAnsi="Times New Roman"/>
      <w:sz w:val="20"/>
      <w:szCs w:val="20"/>
    </w:rPr>
  </w:style>
  <w:style w:type="character" w:styleId="Lbjegyzet-hivatkozs">
    <w:name w:val="footnote reference"/>
    <w:aliases w:val="Footnote Refernece,callout,4_G,ftref,Footnote symbol,Voetnootverwijzing,Times 10 Point,Exposant 3 Point"/>
    <w:basedOn w:val="Bekezdsalapbettpusa"/>
    <w:unhideWhenUsed/>
    <w:qFormat/>
    <w:rsid w:val="007451C4"/>
    <w:rPr>
      <w:vertAlign w:val="superscript"/>
    </w:rPr>
  </w:style>
  <w:style w:type="paragraph" w:styleId="Listaszerbekezds">
    <w:name w:val="List Paragraph"/>
    <w:basedOn w:val="Norml"/>
    <w:uiPriority w:val="34"/>
    <w:qFormat/>
    <w:rsid w:val="00476208"/>
    <w:pPr>
      <w:ind w:left="720"/>
      <w:contextualSpacing/>
    </w:pPr>
  </w:style>
  <w:style w:type="character" w:styleId="Hiperhivatkozs">
    <w:name w:val="Hyperlink"/>
    <w:basedOn w:val="Bekezdsalapbettpusa"/>
    <w:uiPriority w:val="99"/>
    <w:unhideWhenUsed/>
    <w:rsid w:val="00FE0008"/>
    <w:rPr>
      <w:color w:val="0000FF" w:themeColor="hyperlink"/>
      <w:u w:val="single"/>
    </w:rPr>
  </w:style>
  <w:style w:type="paragraph" w:styleId="lfej">
    <w:name w:val="header"/>
    <w:basedOn w:val="Norml"/>
    <w:link w:val="lfejChar"/>
    <w:uiPriority w:val="99"/>
    <w:unhideWhenUsed/>
    <w:rsid w:val="00694C4E"/>
    <w:pPr>
      <w:tabs>
        <w:tab w:val="center" w:pos="4536"/>
        <w:tab w:val="right" w:pos="9072"/>
      </w:tabs>
    </w:pPr>
  </w:style>
  <w:style w:type="character" w:customStyle="1" w:styleId="lfejChar">
    <w:name w:val="Élőfej Char"/>
    <w:basedOn w:val="Bekezdsalapbettpusa"/>
    <w:link w:val="lfej"/>
    <w:uiPriority w:val="99"/>
    <w:rsid w:val="00694C4E"/>
    <w:rPr>
      <w:rFonts w:ascii="Times New Roman" w:hAnsi="Times New Roman"/>
      <w:sz w:val="24"/>
    </w:rPr>
  </w:style>
  <w:style w:type="paragraph" w:styleId="llb">
    <w:name w:val="footer"/>
    <w:basedOn w:val="Norml"/>
    <w:link w:val="llbChar"/>
    <w:uiPriority w:val="99"/>
    <w:unhideWhenUsed/>
    <w:rsid w:val="00694C4E"/>
    <w:pPr>
      <w:tabs>
        <w:tab w:val="center" w:pos="4536"/>
        <w:tab w:val="right" w:pos="9072"/>
      </w:tabs>
    </w:pPr>
  </w:style>
  <w:style w:type="character" w:customStyle="1" w:styleId="llbChar">
    <w:name w:val="Élőláb Char"/>
    <w:basedOn w:val="Bekezdsalapbettpusa"/>
    <w:link w:val="llb"/>
    <w:uiPriority w:val="99"/>
    <w:rsid w:val="00694C4E"/>
    <w:rPr>
      <w:rFonts w:ascii="Times New Roman" w:hAnsi="Times New Roman"/>
      <w:sz w:val="24"/>
    </w:rPr>
  </w:style>
  <w:style w:type="character" w:styleId="Mrltotthiperhivatkozs">
    <w:name w:val="FollowedHyperlink"/>
    <w:basedOn w:val="Bekezdsalapbettpusa"/>
    <w:uiPriority w:val="99"/>
    <w:semiHidden/>
    <w:unhideWhenUsed/>
    <w:rsid w:val="00A604AF"/>
    <w:rPr>
      <w:color w:val="800080" w:themeColor="followedHyperlink"/>
      <w:u w:val="single"/>
    </w:rPr>
  </w:style>
  <w:style w:type="character" w:customStyle="1" w:styleId="Cmsor3Char">
    <w:name w:val="Címsor 3 Char"/>
    <w:basedOn w:val="Bekezdsalapbettpusa"/>
    <w:link w:val="Cmsor3"/>
    <w:uiPriority w:val="9"/>
    <w:rsid w:val="003D49C2"/>
    <w:rPr>
      <w:rFonts w:asciiTheme="majorHAnsi" w:eastAsiaTheme="majorEastAsia" w:hAnsiTheme="majorHAnsi" w:cstheme="majorBidi"/>
      <w:b/>
      <w:bCs/>
      <w:color w:val="4F81BD" w:themeColor="accent1"/>
      <w:sz w:val="24"/>
    </w:rPr>
  </w:style>
  <w:style w:type="character" w:styleId="Jegyzethivatkozs">
    <w:name w:val="annotation reference"/>
    <w:basedOn w:val="Bekezdsalapbettpusa"/>
    <w:uiPriority w:val="99"/>
    <w:semiHidden/>
    <w:unhideWhenUsed/>
    <w:rsid w:val="00243393"/>
    <w:rPr>
      <w:sz w:val="16"/>
      <w:szCs w:val="16"/>
    </w:rPr>
  </w:style>
  <w:style w:type="paragraph" w:styleId="Jegyzetszveg">
    <w:name w:val="annotation text"/>
    <w:basedOn w:val="Norml"/>
    <w:link w:val="JegyzetszvegChar"/>
    <w:uiPriority w:val="99"/>
    <w:semiHidden/>
    <w:unhideWhenUsed/>
    <w:rsid w:val="00243393"/>
    <w:rPr>
      <w:sz w:val="20"/>
      <w:szCs w:val="20"/>
    </w:rPr>
  </w:style>
  <w:style w:type="character" w:customStyle="1" w:styleId="JegyzetszvegChar">
    <w:name w:val="Jegyzetszöveg Char"/>
    <w:basedOn w:val="Bekezdsalapbettpusa"/>
    <w:link w:val="Jegyzetszveg"/>
    <w:uiPriority w:val="99"/>
    <w:semiHidden/>
    <w:rsid w:val="00243393"/>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243393"/>
    <w:rPr>
      <w:b/>
      <w:bCs/>
    </w:rPr>
  </w:style>
  <w:style w:type="character" w:customStyle="1" w:styleId="MegjegyzstrgyaChar">
    <w:name w:val="Megjegyzés tárgya Char"/>
    <w:basedOn w:val="JegyzetszvegChar"/>
    <w:link w:val="Megjegyzstrgya"/>
    <w:uiPriority w:val="99"/>
    <w:semiHidden/>
    <w:rsid w:val="00243393"/>
    <w:rPr>
      <w:rFonts w:ascii="Times New Roman" w:hAnsi="Times New Roman"/>
      <w:b/>
      <w:bCs/>
      <w:sz w:val="20"/>
      <w:szCs w:val="20"/>
    </w:rPr>
  </w:style>
  <w:style w:type="paragraph" w:styleId="Buborkszveg">
    <w:name w:val="Balloon Text"/>
    <w:basedOn w:val="Norml"/>
    <w:link w:val="BuborkszvegChar"/>
    <w:uiPriority w:val="99"/>
    <w:semiHidden/>
    <w:unhideWhenUsed/>
    <w:rsid w:val="00243393"/>
    <w:rPr>
      <w:rFonts w:ascii="Tahoma" w:hAnsi="Tahoma" w:cs="Tahoma"/>
      <w:sz w:val="16"/>
      <w:szCs w:val="16"/>
    </w:rPr>
  </w:style>
  <w:style w:type="character" w:customStyle="1" w:styleId="BuborkszvegChar">
    <w:name w:val="Buborékszöveg Char"/>
    <w:basedOn w:val="Bekezdsalapbettpusa"/>
    <w:link w:val="Buborkszveg"/>
    <w:uiPriority w:val="99"/>
    <w:semiHidden/>
    <w:rsid w:val="00243393"/>
    <w:rPr>
      <w:rFonts w:ascii="Tahoma" w:hAnsi="Tahoma" w:cs="Tahoma"/>
      <w:sz w:val="16"/>
      <w:szCs w:val="16"/>
    </w:rPr>
  </w:style>
  <w:style w:type="paragraph" w:customStyle="1" w:styleId="Default">
    <w:name w:val="Default"/>
    <w:rsid w:val="000F22C7"/>
    <w:pPr>
      <w:autoSpaceDE w:val="0"/>
      <w:autoSpaceDN w:val="0"/>
      <w:adjustRightInd w:val="0"/>
      <w:spacing w:after="0" w:line="240" w:lineRule="auto"/>
    </w:pPr>
    <w:rPr>
      <w:rFonts w:ascii="Arial" w:hAnsi="Arial" w:cs="Arial"/>
      <w:color w:val="000000"/>
      <w:sz w:val="24"/>
      <w:szCs w:val="24"/>
    </w:rPr>
  </w:style>
  <w:style w:type="paragraph" w:customStyle="1" w:styleId="CharChar">
    <w:name w:val="Char Char"/>
    <w:basedOn w:val="Norml"/>
    <w:rsid w:val="0052199B"/>
    <w:pPr>
      <w:jc w:val="left"/>
    </w:pPr>
    <w:rPr>
      <w:rFonts w:ascii="Arial" w:eastAsia="Times New Roman" w:hAnsi="Arial" w:cs="Arial"/>
      <w:sz w:val="22"/>
      <w:lang w:val="en-AU"/>
    </w:rPr>
  </w:style>
  <w:style w:type="paragraph" w:styleId="Vltozat">
    <w:name w:val="Revision"/>
    <w:hidden/>
    <w:uiPriority w:val="99"/>
    <w:semiHidden/>
    <w:rsid w:val="002C26E8"/>
    <w:pPr>
      <w:spacing w:after="0" w:line="240" w:lineRule="auto"/>
    </w:pPr>
    <w:rPr>
      <w:rFonts w:ascii="Times New Roman" w:hAnsi="Times New Roman"/>
      <w:sz w:val="24"/>
    </w:rPr>
  </w:style>
  <w:style w:type="character" w:customStyle="1" w:styleId="Cmsor2Char">
    <w:name w:val="Címsor 2 Char"/>
    <w:basedOn w:val="Bekezdsalapbettpusa"/>
    <w:link w:val="Cmsor2"/>
    <w:uiPriority w:val="9"/>
    <w:rsid w:val="00362EAD"/>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0B427C"/>
    <w:rPr>
      <w:rFonts w:asciiTheme="majorHAnsi" w:eastAsiaTheme="majorEastAsia" w:hAnsiTheme="majorHAnsi" w:cstheme="majorBidi"/>
      <w:b/>
      <w:bCs/>
      <w:color w:val="365F91" w:themeColor="accent1" w:themeShade="BF"/>
      <w:sz w:val="28"/>
      <w:szCs w:val="28"/>
    </w:rPr>
  </w:style>
  <w:style w:type="paragraph" w:styleId="Cm">
    <w:name w:val="Title"/>
    <w:basedOn w:val="Norml"/>
    <w:next w:val="Norml"/>
    <w:link w:val="CmChar"/>
    <w:uiPriority w:val="10"/>
    <w:qFormat/>
    <w:rsid w:val="000B42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0B427C"/>
    <w:rPr>
      <w:rFonts w:asciiTheme="majorHAnsi" w:eastAsiaTheme="majorEastAsia" w:hAnsiTheme="majorHAnsi" w:cstheme="majorBidi"/>
      <w:color w:val="17365D" w:themeColor="text2" w:themeShade="BF"/>
      <w:spacing w:val="5"/>
      <w:kern w:val="28"/>
      <w:sz w:val="52"/>
      <w:szCs w:val="52"/>
    </w:rPr>
  </w:style>
  <w:style w:type="paragraph" w:styleId="TJ1">
    <w:name w:val="toc 1"/>
    <w:basedOn w:val="Norml"/>
    <w:next w:val="Norml"/>
    <w:autoRedefine/>
    <w:uiPriority w:val="39"/>
    <w:unhideWhenUsed/>
    <w:rsid w:val="007C039A"/>
    <w:pPr>
      <w:spacing w:after="100"/>
    </w:pPr>
  </w:style>
  <w:style w:type="paragraph" w:styleId="TJ2">
    <w:name w:val="toc 2"/>
    <w:basedOn w:val="Norml"/>
    <w:next w:val="Norml"/>
    <w:autoRedefine/>
    <w:uiPriority w:val="39"/>
    <w:unhideWhenUsed/>
    <w:rsid w:val="007C039A"/>
    <w:pPr>
      <w:spacing w:after="100"/>
      <w:ind w:left="240"/>
    </w:pPr>
  </w:style>
  <w:style w:type="paragraph" w:styleId="TJ3">
    <w:name w:val="toc 3"/>
    <w:basedOn w:val="Norml"/>
    <w:next w:val="Norml"/>
    <w:autoRedefine/>
    <w:uiPriority w:val="39"/>
    <w:unhideWhenUsed/>
    <w:rsid w:val="007C039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45C4"/>
    <w:pPr>
      <w:spacing w:after="0" w:line="240" w:lineRule="auto"/>
      <w:jc w:val="both"/>
    </w:pPr>
    <w:rPr>
      <w:rFonts w:ascii="Times New Roman" w:hAnsi="Times New Roman"/>
      <w:sz w:val="24"/>
    </w:rPr>
  </w:style>
  <w:style w:type="paragraph" w:styleId="Cmsor1">
    <w:name w:val="heading 1"/>
    <w:basedOn w:val="Norml"/>
    <w:next w:val="Norml"/>
    <w:link w:val="Cmsor1Char"/>
    <w:uiPriority w:val="9"/>
    <w:qFormat/>
    <w:rsid w:val="000B42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62E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3D49C2"/>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7451C4"/>
    <w:rPr>
      <w:sz w:val="20"/>
      <w:szCs w:val="20"/>
    </w:rPr>
  </w:style>
  <w:style w:type="character" w:customStyle="1" w:styleId="LbjegyzetszvegChar">
    <w:name w:val="Lábjegyzetszöveg Char"/>
    <w:basedOn w:val="Bekezdsalapbettpusa"/>
    <w:link w:val="Lbjegyzetszveg"/>
    <w:uiPriority w:val="99"/>
    <w:rsid w:val="007451C4"/>
    <w:rPr>
      <w:rFonts w:ascii="Times New Roman" w:hAnsi="Times New Roman"/>
      <w:sz w:val="20"/>
      <w:szCs w:val="20"/>
    </w:rPr>
  </w:style>
  <w:style w:type="character" w:styleId="Lbjegyzet-hivatkozs">
    <w:name w:val="footnote reference"/>
    <w:aliases w:val="Footnote Refernece,callout,4_G,ftref,Footnote symbol,Voetnootverwijzing,Times 10 Point,Exposant 3 Point"/>
    <w:basedOn w:val="Bekezdsalapbettpusa"/>
    <w:unhideWhenUsed/>
    <w:qFormat/>
    <w:rsid w:val="007451C4"/>
    <w:rPr>
      <w:vertAlign w:val="superscript"/>
    </w:rPr>
  </w:style>
  <w:style w:type="paragraph" w:styleId="Listaszerbekezds">
    <w:name w:val="List Paragraph"/>
    <w:basedOn w:val="Norml"/>
    <w:uiPriority w:val="34"/>
    <w:qFormat/>
    <w:rsid w:val="00476208"/>
    <w:pPr>
      <w:ind w:left="720"/>
      <w:contextualSpacing/>
    </w:pPr>
  </w:style>
  <w:style w:type="character" w:styleId="Hiperhivatkozs">
    <w:name w:val="Hyperlink"/>
    <w:basedOn w:val="Bekezdsalapbettpusa"/>
    <w:uiPriority w:val="99"/>
    <w:unhideWhenUsed/>
    <w:rsid w:val="00FE0008"/>
    <w:rPr>
      <w:color w:val="0000FF" w:themeColor="hyperlink"/>
      <w:u w:val="single"/>
    </w:rPr>
  </w:style>
  <w:style w:type="paragraph" w:styleId="lfej">
    <w:name w:val="header"/>
    <w:basedOn w:val="Norml"/>
    <w:link w:val="lfejChar"/>
    <w:uiPriority w:val="99"/>
    <w:unhideWhenUsed/>
    <w:rsid w:val="00694C4E"/>
    <w:pPr>
      <w:tabs>
        <w:tab w:val="center" w:pos="4536"/>
        <w:tab w:val="right" w:pos="9072"/>
      </w:tabs>
    </w:pPr>
  </w:style>
  <w:style w:type="character" w:customStyle="1" w:styleId="lfejChar">
    <w:name w:val="Élőfej Char"/>
    <w:basedOn w:val="Bekezdsalapbettpusa"/>
    <w:link w:val="lfej"/>
    <w:uiPriority w:val="99"/>
    <w:rsid w:val="00694C4E"/>
    <w:rPr>
      <w:rFonts w:ascii="Times New Roman" w:hAnsi="Times New Roman"/>
      <w:sz w:val="24"/>
    </w:rPr>
  </w:style>
  <w:style w:type="paragraph" w:styleId="llb">
    <w:name w:val="footer"/>
    <w:basedOn w:val="Norml"/>
    <w:link w:val="llbChar"/>
    <w:uiPriority w:val="99"/>
    <w:unhideWhenUsed/>
    <w:rsid w:val="00694C4E"/>
    <w:pPr>
      <w:tabs>
        <w:tab w:val="center" w:pos="4536"/>
        <w:tab w:val="right" w:pos="9072"/>
      </w:tabs>
    </w:pPr>
  </w:style>
  <w:style w:type="character" w:customStyle="1" w:styleId="llbChar">
    <w:name w:val="Élőláb Char"/>
    <w:basedOn w:val="Bekezdsalapbettpusa"/>
    <w:link w:val="llb"/>
    <w:uiPriority w:val="99"/>
    <w:rsid w:val="00694C4E"/>
    <w:rPr>
      <w:rFonts w:ascii="Times New Roman" w:hAnsi="Times New Roman"/>
      <w:sz w:val="24"/>
    </w:rPr>
  </w:style>
  <w:style w:type="character" w:styleId="Mrltotthiperhivatkozs">
    <w:name w:val="FollowedHyperlink"/>
    <w:basedOn w:val="Bekezdsalapbettpusa"/>
    <w:uiPriority w:val="99"/>
    <w:semiHidden/>
    <w:unhideWhenUsed/>
    <w:rsid w:val="00A604AF"/>
    <w:rPr>
      <w:color w:val="800080" w:themeColor="followedHyperlink"/>
      <w:u w:val="single"/>
    </w:rPr>
  </w:style>
  <w:style w:type="character" w:customStyle="1" w:styleId="Cmsor3Char">
    <w:name w:val="Címsor 3 Char"/>
    <w:basedOn w:val="Bekezdsalapbettpusa"/>
    <w:link w:val="Cmsor3"/>
    <w:uiPriority w:val="9"/>
    <w:rsid w:val="003D49C2"/>
    <w:rPr>
      <w:rFonts w:asciiTheme="majorHAnsi" w:eastAsiaTheme="majorEastAsia" w:hAnsiTheme="majorHAnsi" w:cstheme="majorBidi"/>
      <w:b/>
      <w:bCs/>
      <w:color w:val="4F81BD" w:themeColor="accent1"/>
      <w:sz w:val="24"/>
    </w:rPr>
  </w:style>
  <w:style w:type="character" w:styleId="Jegyzethivatkozs">
    <w:name w:val="annotation reference"/>
    <w:basedOn w:val="Bekezdsalapbettpusa"/>
    <w:uiPriority w:val="99"/>
    <w:semiHidden/>
    <w:unhideWhenUsed/>
    <w:rsid w:val="00243393"/>
    <w:rPr>
      <w:sz w:val="16"/>
      <w:szCs w:val="16"/>
    </w:rPr>
  </w:style>
  <w:style w:type="paragraph" w:styleId="Jegyzetszveg">
    <w:name w:val="annotation text"/>
    <w:basedOn w:val="Norml"/>
    <w:link w:val="JegyzetszvegChar"/>
    <w:uiPriority w:val="99"/>
    <w:semiHidden/>
    <w:unhideWhenUsed/>
    <w:rsid w:val="00243393"/>
    <w:rPr>
      <w:sz w:val="20"/>
      <w:szCs w:val="20"/>
    </w:rPr>
  </w:style>
  <w:style w:type="character" w:customStyle="1" w:styleId="JegyzetszvegChar">
    <w:name w:val="Jegyzetszöveg Char"/>
    <w:basedOn w:val="Bekezdsalapbettpusa"/>
    <w:link w:val="Jegyzetszveg"/>
    <w:uiPriority w:val="99"/>
    <w:semiHidden/>
    <w:rsid w:val="00243393"/>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243393"/>
    <w:rPr>
      <w:b/>
      <w:bCs/>
    </w:rPr>
  </w:style>
  <w:style w:type="character" w:customStyle="1" w:styleId="MegjegyzstrgyaChar">
    <w:name w:val="Megjegyzés tárgya Char"/>
    <w:basedOn w:val="JegyzetszvegChar"/>
    <w:link w:val="Megjegyzstrgya"/>
    <w:uiPriority w:val="99"/>
    <w:semiHidden/>
    <w:rsid w:val="00243393"/>
    <w:rPr>
      <w:rFonts w:ascii="Times New Roman" w:hAnsi="Times New Roman"/>
      <w:b/>
      <w:bCs/>
      <w:sz w:val="20"/>
      <w:szCs w:val="20"/>
    </w:rPr>
  </w:style>
  <w:style w:type="paragraph" w:styleId="Buborkszveg">
    <w:name w:val="Balloon Text"/>
    <w:basedOn w:val="Norml"/>
    <w:link w:val="BuborkszvegChar"/>
    <w:uiPriority w:val="99"/>
    <w:semiHidden/>
    <w:unhideWhenUsed/>
    <w:rsid w:val="00243393"/>
    <w:rPr>
      <w:rFonts w:ascii="Tahoma" w:hAnsi="Tahoma" w:cs="Tahoma"/>
      <w:sz w:val="16"/>
      <w:szCs w:val="16"/>
    </w:rPr>
  </w:style>
  <w:style w:type="character" w:customStyle="1" w:styleId="BuborkszvegChar">
    <w:name w:val="Buborékszöveg Char"/>
    <w:basedOn w:val="Bekezdsalapbettpusa"/>
    <w:link w:val="Buborkszveg"/>
    <w:uiPriority w:val="99"/>
    <w:semiHidden/>
    <w:rsid w:val="00243393"/>
    <w:rPr>
      <w:rFonts w:ascii="Tahoma" w:hAnsi="Tahoma" w:cs="Tahoma"/>
      <w:sz w:val="16"/>
      <w:szCs w:val="16"/>
    </w:rPr>
  </w:style>
  <w:style w:type="paragraph" w:customStyle="1" w:styleId="Default">
    <w:name w:val="Default"/>
    <w:rsid w:val="000F22C7"/>
    <w:pPr>
      <w:autoSpaceDE w:val="0"/>
      <w:autoSpaceDN w:val="0"/>
      <w:adjustRightInd w:val="0"/>
      <w:spacing w:after="0" w:line="240" w:lineRule="auto"/>
    </w:pPr>
    <w:rPr>
      <w:rFonts w:ascii="Arial" w:hAnsi="Arial" w:cs="Arial"/>
      <w:color w:val="000000"/>
      <w:sz w:val="24"/>
      <w:szCs w:val="24"/>
    </w:rPr>
  </w:style>
  <w:style w:type="paragraph" w:customStyle="1" w:styleId="CharChar">
    <w:name w:val="Char Char"/>
    <w:basedOn w:val="Norml"/>
    <w:rsid w:val="0052199B"/>
    <w:pPr>
      <w:jc w:val="left"/>
    </w:pPr>
    <w:rPr>
      <w:rFonts w:ascii="Arial" w:eastAsia="Times New Roman" w:hAnsi="Arial" w:cs="Arial"/>
      <w:sz w:val="22"/>
      <w:lang w:val="en-AU"/>
    </w:rPr>
  </w:style>
  <w:style w:type="paragraph" w:styleId="Vltozat">
    <w:name w:val="Revision"/>
    <w:hidden/>
    <w:uiPriority w:val="99"/>
    <w:semiHidden/>
    <w:rsid w:val="002C26E8"/>
    <w:pPr>
      <w:spacing w:after="0" w:line="240" w:lineRule="auto"/>
    </w:pPr>
    <w:rPr>
      <w:rFonts w:ascii="Times New Roman" w:hAnsi="Times New Roman"/>
      <w:sz w:val="24"/>
    </w:rPr>
  </w:style>
  <w:style w:type="character" w:customStyle="1" w:styleId="Cmsor2Char">
    <w:name w:val="Címsor 2 Char"/>
    <w:basedOn w:val="Bekezdsalapbettpusa"/>
    <w:link w:val="Cmsor2"/>
    <w:uiPriority w:val="9"/>
    <w:rsid w:val="00362EAD"/>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0B427C"/>
    <w:rPr>
      <w:rFonts w:asciiTheme="majorHAnsi" w:eastAsiaTheme="majorEastAsia" w:hAnsiTheme="majorHAnsi" w:cstheme="majorBidi"/>
      <w:b/>
      <w:bCs/>
      <w:color w:val="365F91" w:themeColor="accent1" w:themeShade="BF"/>
      <w:sz w:val="28"/>
      <w:szCs w:val="28"/>
    </w:rPr>
  </w:style>
  <w:style w:type="paragraph" w:styleId="Cm">
    <w:name w:val="Title"/>
    <w:basedOn w:val="Norml"/>
    <w:next w:val="Norml"/>
    <w:link w:val="CmChar"/>
    <w:uiPriority w:val="10"/>
    <w:qFormat/>
    <w:rsid w:val="000B42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0B427C"/>
    <w:rPr>
      <w:rFonts w:asciiTheme="majorHAnsi" w:eastAsiaTheme="majorEastAsia" w:hAnsiTheme="majorHAnsi" w:cstheme="majorBidi"/>
      <w:color w:val="17365D" w:themeColor="text2" w:themeShade="BF"/>
      <w:spacing w:val="5"/>
      <w:kern w:val="28"/>
      <w:sz w:val="52"/>
      <w:szCs w:val="52"/>
    </w:rPr>
  </w:style>
  <w:style w:type="paragraph" w:styleId="TJ1">
    <w:name w:val="toc 1"/>
    <w:basedOn w:val="Norml"/>
    <w:next w:val="Norml"/>
    <w:autoRedefine/>
    <w:uiPriority w:val="39"/>
    <w:unhideWhenUsed/>
    <w:rsid w:val="007C039A"/>
    <w:pPr>
      <w:spacing w:after="100"/>
    </w:pPr>
  </w:style>
  <w:style w:type="paragraph" w:styleId="TJ2">
    <w:name w:val="toc 2"/>
    <w:basedOn w:val="Norml"/>
    <w:next w:val="Norml"/>
    <w:autoRedefine/>
    <w:uiPriority w:val="39"/>
    <w:unhideWhenUsed/>
    <w:rsid w:val="007C039A"/>
    <w:pPr>
      <w:spacing w:after="100"/>
      <w:ind w:left="240"/>
    </w:pPr>
  </w:style>
  <w:style w:type="paragraph" w:styleId="TJ3">
    <w:name w:val="toc 3"/>
    <w:basedOn w:val="Norml"/>
    <w:next w:val="Norml"/>
    <w:autoRedefine/>
    <w:uiPriority w:val="39"/>
    <w:unhideWhenUsed/>
    <w:rsid w:val="007C039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0464">
      <w:bodyDiv w:val="1"/>
      <w:marLeft w:val="0"/>
      <w:marRight w:val="0"/>
      <w:marTop w:val="0"/>
      <w:marBottom w:val="0"/>
      <w:divBdr>
        <w:top w:val="none" w:sz="0" w:space="0" w:color="auto"/>
        <w:left w:val="none" w:sz="0" w:space="0" w:color="auto"/>
        <w:bottom w:val="none" w:sz="0" w:space="0" w:color="auto"/>
        <w:right w:val="none" w:sz="0" w:space="0" w:color="auto"/>
      </w:divBdr>
      <w:divsChild>
        <w:div w:id="1891071578">
          <w:marLeft w:val="0"/>
          <w:marRight w:val="0"/>
          <w:marTop w:val="15"/>
          <w:marBottom w:val="15"/>
          <w:divBdr>
            <w:top w:val="none" w:sz="0" w:space="0" w:color="auto"/>
            <w:left w:val="none" w:sz="0" w:space="0" w:color="auto"/>
            <w:bottom w:val="none" w:sz="0" w:space="0" w:color="auto"/>
            <w:right w:val="none" w:sz="0" w:space="0" w:color="auto"/>
          </w:divBdr>
        </w:div>
        <w:div w:id="515077949">
          <w:marLeft w:val="0"/>
          <w:marRight w:val="0"/>
          <w:marTop w:val="0"/>
          <w:marBottom w:val="0"/>
          <w:divBdr>
            <w:top w:val="none" w:sz="0" w:space="0" w:color="auto"/>
            <w:left w:val="none" w:sz="0" w:space="0" w:color="auto"/>
            <w:bottom w:val="none" w:sz="0" w:space="0" w:color="auto"/>
            <w:right w:val="none" w:sz="0" w:space="0" w:color="auto"/>
          </w:divBdr>
          <w:divsChild>
            <w:div w:id="48503383">
              <w:marLeft w:val="0"/>
              <w:marRight w:val="30"/>
              <w:marTop w:val="30"/>
              <w:marBottom w:val="0"/>
              <w:divBdr>
                <w:top w:val="none" w:sz="0" w:space="0" w:color="auto"/>
                <w:left w:val="none" w:sz="0" w:space="0" w:color="auto"/>
                <w:bottom w:val="none" w:sz="0" w:space="0" w:color="auto"/>
                <w:right w:val="none" w:sz="0" w:space="0" w:color="auto"/>
              </w:divBdr>
            </w:div>
            <w:div w:id="185994256">
              <w:marLeft w:val="0"/>
              <w:marRight w:val="30"/>
              <w:marTop w:val="30"/>
              <w:marBottom w:val="0"/>
              <w:divBdr>
                <w:top w:val="none" w:sz="0" w:space="0" w:color="auto"/>
                <w:left w:val="none" w:sz="0" w:space="0" w:color="auto"/>
                <w:bottom w:val="none" w:sz="0" w:space="0" w:color="auto"/>
                <w:right w:val="none" w:sz="0" w:space="0" w:color="auto"/>
              </w:divBdr>
            </w:div>
            <w:div w:id="1406951808">
              <w:marLeft w:val="0"/>
              <w:marRight w:val="30"/>
              <w:marTop w:val="30"/>
              <w:marBottom w:val="0"/>
              <w:divBdr>
                <w:top w:val="none" w:sz="0" w:space="0" w:color="auto"/>
                <w:left w:val="none" w:sz="0" w:space="0" w:color="auto"/>
                <w:bottom w:val="none" w:sz="0" w:space="0" w:color="auto"/>
                <w:right w:val="none" w:sz="0" w:space="0" w:color="auto"/>
              </w:divBdr>
            </w:div>
            <w:div w:id="434054528">
              <w:marLeft w:val="0"/>
              <w:marRight w:val="30"/>
              <w:marTop w:val="30"/>
              <w:marBottom w:val="0"/>
              <w:divBdr>
                <w:top w:val="none" w:sz="0" w:space="0" w:color="auto"/>
                <w:left w:val="none" w:sz="0" w:space="0" w:color="auto"/>
                <w:bottom w:val="none" w:sz="0" w:space="0" w:color="auto"/>
                <w:right w:val="none" w:sz="0" w:space="0" w:color="auto"/>
              </w:divBdr>
            </w:div>
            <w:div w:id="577205836">
              <w:marLeft w:val="0"/>
              <w:marRight w:val="30"/>
              <w:marTop w:val="30"/>
              <w:marBottom w:val="0"/>
              <w:divBdr>
                <w:top w:val="none" w:sz="0" w:space="0" w:color="auto"/>
                <w:left w:val="none" w:sz="0" w:space="0" w:color="auto"/>
                <w:bottom w:val="none" w:sz="0" w:space="0" w:color="auto"/>
                <w:right w:val="none" w:sz="0" w:space="0" w:color="auto"/>
              </w:divBdr>
            </w:div>
            <w:div w:id="1981689254">
              <w:marLeft w:val="0"/>
              <w:marRight w:val="30"/>
              <w:marTop w:val="30"/>
              <w:marBottom w:val="0"/>
              <w:divBdr>
                <w:top w:val="none" w:sz="0" w:space="0" w:color="auto"/>
                <w:left w:val="none" w:sz="0" w:space="0" w:color="auto"/>
                <w:bottom w:val="none" w:sz="0" w:space="0" w:color="auto"/>
                <w:right w:val="none" w:sz="0" w:space="0" w:color="auto"/>
              </w:divBdr>
            </w:div>
            <w:div w:id="1019896509">
              <w:marLeft w:val="0"/>
              <w:marRight w:val="30"/>
              <w:marTop w:val="30"/>
              <w:marBottom w:val="0"/>
              <w:divBdr>
                <w:top w:val="none" w:sz="0" w:space="0" w:color="auto"/>
                <w:left w:val="none" w:sz="0" w:space="0" w:color="auto"/>
                <w:bottom w:val="none" w:sz="0" w:space="0" w:color="auto"/>
                <w:right w:val="none" w:sz="0" w:space="0" w:color="auto"/>
              </w:divBdr>
            </w:div>
          </w:divsChild>
        </w:div>
      </w:divsChild>
    </w:div>
    <w:div w:id="633295338">
      <w:bodyDiv w:val="1"/>
      <w:marLeft w:val="0"/>
      <w:marRight w:val="0"/>
      <w:marTop w:val="0"/>
      <w:marBottom w:val="0"/>
      <w:divBdr>
        <w:top w:val="none" w:sz="0" w:space="0" w:color="auto"/>
        <w:left w:val="none" w:sz="0" w:space="0" w:color="auto"/>
        <w:bottom w:val="none" w:sz="0" w:space="0" w:color="auto"/>
        <w:right w:val="none" w:sz="0" w:space="0" w:color="auto"/>
      </w:divBdr>
    </w:div>
    <w:div w:id="811140155">
      <w:bodyDiv w:val="1"/>
      <w:marLeft w:val="0"/>
      <w:marRight w:val="0"/>
      <w:marTop w:val="0"/>
      <w:marBottom w:val="0"/>
      <w:divBdr>
        <w:top w:val="none" w:sz="0" w:space="0" w:color="auto"/>
        <w:left w:val="none" w:sz="0" w:space="0" w:color="auto"/>
        <w:bottom w:val="none" w:sz="0" w:space="0" w:color="auto"/>
        <w:right w:val="none" w:sz="0" w:space="0" w:color="auto"/>
      </w:divBdr>
    </w:div>
    <w:div w:id="939794225">
      <w:bodyDiv w:val="1"/>
      <w:marLeft w:val="0"/>
      <w:marRight w:val="0"/>
      <w:marTop w:val="0"/>
      <w:marBottom w:val="0"/>
      <w:divBdr>
        <w:top w:val="none" w:sz="0" w:space="0" w:color="auto"/>
        <w:left w:val="none" w:sz="0" w:space="0" w:color="auto"/>
        <w:bottom w:val="none" w:sz="0" w:space="0" w:color="auto"/>
        <w:right w:val="none" w:sz="0" w:space="0" w:color="auto"/>
      </w:divBdr>
    </w:div>
    <w:div w:id="1127316157">
      <w:bodyDiv w:val="1"/>
      <w:marLeft w:val="0"/>
      <w:marRight w:val="0"/>
      <w:marTop w:val="0"/>
      <w:marBottom w:val="0"/>
      <w:divBdr>
        <w:top w:val="none" w:sz="0" w:space="0" w:color="auto"/>
        <w:left w:val="none" w:sz="0" w:space="0" w:color="auto"/>
        <w:bottom w:val="none" w:sz="0" w:space="0" w:color="auto"/>
        <w:right w:val="none" w:sz="0" w:space="0" w:color="auto"/>
      </w:divBdr>
      <w:divsChild>
        <w:div w:id="102186640">
          <w:marLeft w:val="0"/>
          <w:marRight w:val="0"/>
          <w:marTop w:val="0"/>
          <w:marBottom w:val="0"/>
          <w:divBdr>
            <w:top w:val="none" w:sz="0" w:space="0" w:color="auto"/>
            <w:left w:val="none" w:sz="0" w:space="0" w:color="auto"/>
            <w:bottom w:val="none" w:sz="0" w:space="0" w:color="auto"/>
            <w:right w:val="none" w:sz="0" w:space="0" w:color="auto"/>
          </w:divBdr>
        </w:div>
        <w:div w:id="1128007729">
          <w:marLeft w:val="0"/>
          <w:marRight w:val="0"/>
          <w:marTop w:val="0"/>
          <w:marBottom w:val="0"/>
          <w:divBdr>
            <w:top w:val="none" w:sz="0" w:space="0" w:color="auto"/>
            <w:left w:val="none" w:sz="0" w:space="0" w:color="auto"/>
            <w:bottom w:val="none" w:sz="0" w:space="0" w:color="auto"/>
            <w:right w:val="none" w:sz="0" w:space="0" w:color="auto"/>
          </w:divBdr>
        </w:div>
      </w:divsChild>
    </w:div>
    <w:div w:id="1500929656">
      <w:bodyDiv w:val="1"/>
      <w:marLeft w:val="0"/>
      <w:marRight w:val="0"/>
      <w:marTop w:val="0"/>
      <w:marBottom w:val="0"/>
      <w:divBdr>
        <w:top w:val="none" w:sz="0" w:space="0" w:color="auto"/>
        <w:left w:val="none" w:sz="0" w:space="0" w:color="auto"/>
        <w:bottom w:val="none" w:sz="0" w:space="0" w:color="auto"/>
        <w:right w:val="none" w:sz="0" w:space="0" w:color="auto"/>
      </w:divBdr>
    </w:div>
    <w:div w:id="1587498335">
      <w:bodyDiv w:val="1"/>
      <w:marLeft w:val="0"/>
      <w:marRight w:val="0"/>
      <w:marTop w:val="0"/>
      <w:marBottom w:val="0"/>
      <w:divBdr>
        <w:top w:val="none" w:sz="0" w:space="0" w:color="auto"/>
        <w:left w:val="none" w:sz="0" w:space="0" w:color="auto"/>
        <w:bottom w:val="none" w:sz="0" w:space="0" w:color="auto"/>
        <w:right w:val="none" w:sz="0" w:space="0" w:color="auto"/>
      </w:divBdr>
    </w:div>
    <w:div w:id="1602684441">
      <w:bodyDiv w:val="1"/>
      <w:marLeft w:val="0"/>
      <w:marRight w:val="0"/>
      <w:marTop w:val="0"/>
      <w:marBottom w:val="0"/>
      <w:divBdr>
        <w:top w:val="none" w:sz="0" w:space="0" w:color="auto"/>
        <w:left w:val="none" w:sz="0" w:space="0" w:color="auto"/>
        <w:bottom w:val="none" w:sz="0" w:space="0" w:color="auto"/>
        <w:right w:val="none" w:sz="0" w:space="0" w:color="auto"/>
      </w:divBdr>
    </w:div>
    <w:div w:id="1651055693">
      <w:bodyDiv w:val="1"/>
      <w:marLeft w:val="0"/>
      <w:marRight w:val="0"/>
      <w:marTop w:val="0"/>
      <w:marBottom w:val="0"/>
      <w:divBdr>
        <w:top w:val="none" w:sz="0" w:space="0" w:color="auto"/>
        <w:left w:val="none" w:sz="0" w:space="0" w:color="auto"/>
        <w:bottom w:val="none" w:sz="0" w:space="0" w:color="auto"/>
        <w:right w:val="none" w:sz="0" w:space="0" w:color="auto"/>
      </w:divBdr>
    </w:div>
    <w:div w:id="1683781305">
      <w:bodyDiv w:val="1"/>
      <w:marLeft w:val="0"/>
      <w:marRight w:val="0"/>
      <w:marTop w:val="0"/>
      <w:marBottom w:val="0"/>
      <w:divBdr>
        <w:top w:val="none" w:sz="0" w:space="0" w:color="auto"/>
        <w:left w:val="none" w:sz="0" w:space="0" w:color="auto"/>
        <w:bottom w:val="none" w:sz="0" w:space="0" w:color="auto"/>
        <w:right w:val="none" w:sz="0" w:space="0" w:color="auto"/>
      </w:divBdr>
      <w:divsChild>
        <w:div w:id="147673275">
          <w:marLeft w:val="0"/>
          <w:marRight w:val="0"/>
          <w:marTop w:val="0"/>
          <w:marBottom w:val="0"/>
          <w:divBdr>
            <w:top w:val="none" w:sz="0" w:space="0" w:color="auto"/>
            <w:left w:val="none" w:sz="0" w:space="0" w:color="auto"/>
            <w:bottom w:val="none" w:sz="0" w:space="0" w:color="auto"/>
            <w:right w:val="none" w:sz="0" w:space="0" w:color="auto"/>
          </w:divBdr>
        </w:div>
        <w:div w:id="1110275670">
          <w:marLeft w:val="0"/>
          <w:marRight w:val="0"/>
          <w:marTop w:val="0"/>
          <w:marBottom w:val="0"/>
          <w:divBdr>
            <w:top w:val="none" w:sz="0" w:space="0" w:color="auto"/>
            <w:left w:val="none" w:sz="0" w:space="0" w:color="auto"/>
            <w:bottom w:val="none" w:sz="0" w:space="0" w:color="auto"/>
            <w:right w:val="none" w:sz="0" w:space="0" w:color="auto"/>
          </w:divBdr>
        </w:div>
        <w:div w:id="1587380210">
          <w:marLeft w:val="0"/>
          <w:marRight w:val="0"/>
          <w:marTop w:val="0"/>
          <w:marBottom w:val="0"/>
          <w:divBdr>
            <w:top w:val="none" w:sz="0" w:space="0" w:color="auto"/>
            <w:left w:val="none" w:sz="0" w:space="0" w:color="auto"/>
            <w:bottom w:val="none" w:sz="0" w:space="0" w:color="auto"/>
            <w:right w:val="none" w:sz="0" w:space="0" w:color="auto"/>
          </w:divBdr>
        </w:div>
        <w:div w:id="504977328">
          <w:marLeft w:val="0"/>
          <w:marRight w:val="0"/>
          <w:marTop w:val="0"/>
          <w:marBottom w:val="0"/>
          <w:divBdr>
            <w:top w:val="none" w:sz="0" w:space="0" w:color="auto"/>
            <w:left w:val="none" w:sz="0" w:space="0" w:color="auto"/>
            <w:bottom w:val="none" w:sz="0" w:space="0" w:color="auto"/>
            <w:right w:val="none" w:sz="0" w:space="0" w:color="auto"/>
          </w:divBdr>
        </w:div>
        <w:div w:id="729153962">
          <w:marLeft w:val="0"/>
          <w:marRight w:val="0"/>
          <w:marTop w:val="0"/>
          <w:marBottom w:val="0"/>
          <w:divBdr>
            <w:top w:val="none" w:sz="0" w:space="0" w:color="auto"/>
            <w:left w:val="none" w:sz="0" w:space="0" w:color="auto"/>
            <w:bottom w:val="none" w:sz="0" w:space="0" w:color="auto"/>
            <w:right w:val="none" w:sz="0" w:space="0" w:color="auto"/>
          </w:divBdr>
        </w:div>
        <w:div w:id="1316185923">
          <w:marLeft w:val="0"/>
          <w:marRight w:val="0"/>
          <w:marTop w:val="0"/>
          <w:marBottom w:val="0"/>
          <w:divBdr>
            <w:top w:val="none" w:sz="0" w:space="0" w:color="auto"/>
            <w:left w:val="none" w:sz="0" w:space="0" w:color="auto"/>
            <w:bottom w:val="none" w:sz="0" w:space="0" w:color="auto"/>
            <w:right w:val="none" w:sz="0" w:space="0" w:color="auto"/>
          </w:divBdr>
        </w:div>
        <w:div w:id="158162482">
          <w:marLeft w:val="0"/>
          <w:marRight w:val="0"/>
          <w:marTop w:val="0"/>
          <w:marBottom w:val="0"/>
          <w:divBdr>
            <w:top w:val="none" w:sz="0" w:space="0" w:color="auto"/>
            <w:left w:val="none" w:sz="0" w:space="0" w:color="auto"/>
            <w:bottom w:val="none" w:sz="0" w:space="0" w:color="auto"/>
            <w:right w:val="none" w:sz="0" w:space="0" w:color="auto"/>
          </w:divBdr>
        </w:div>
        <w:div w:id="1052968713">
          <w:marLeft w:val="0"/>
          <w:marRight w:val="0"/>
          <w:marTop w:val="0"/>
          <w:marBottom w:val="0"/>
          <w:divBdr>
            <w:top w:val="none" w:sz="0" w:space="0" w:color="auto"/>
            <w:left w:val="none" w:sz="0" w:space="0" w:color="auto"/>
            <w:bottom w:val="none" w:sz="0" w:space="0" w:color="auto"/>
            <w:right w:val="none" w:sz="0" w:space="0" w:color="auto"/>
          </w:divBdr>
        </w:div>
      </w:divsChild>
    </w:div>
    <w:div w:id="1697461906">
      <w:bodyDiv w:val="1"/>
      <w:marLeft w:val="0"/>
      <w:marRight w:val="0"/>
      <w:marTop w:val="0"/>
      <w:marBottom w:val="0"/>
      <w:divBdr>
        <w:top w:val="none" w:sz="0" w:space="0" w:color="auto"/>
        <w:left w:val="none" w:sz="0" w:space="0" w:color="auto"/>
        <w:bottom w:val="none" w:sz="0" w:space="0" w:color="auto"/>
        <w:right w:val="none" w:sz="0" w:space="0" w:color="auto"/>
      </w:divBdr>
    </w:div>
    <w:div w:id="1866477568">
      <w:bodyDiv w:val="1"/>
      <w:marLeft w:val="0"/>
      <w:marRight w:val="0"/>
      <w:marTop w:val="0"/>
      <w:marBottom w:val="0"/>
      <w:divBdr>
        <w:top w:val="none" w:sz="0" w:space="0" w:color="auto"/>
        <w:left w:val="none" w:sz="0" w:space="0" w:color="auto"/>
        <w:bottom w:val="none" w:sz="0" w:space="0" w:color="auto"/>
        <w:right w:val="none" w:sz="0" w:space="0" w:color="auto"/>
      </w:divBdr>
    </w:div>
    <w:div w:id="194422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5mp.eu/fajlok2/lelekhangegyesulet/onsegites_lelekhang_www.5mp.eu_.pps" TargetMode="External"/><Relationship Id="rId13" Type="http://schemas.openxmlformats.org/officeDocument/2006/relationships/hyperlink" Target="http://www.tidal-model.com" TargetMode="External"/><Relationship Id="rId18" Type="http://schemas.openxmlformats.org/officeDocument/2006/relationships/hyperlink" Target="http://wildtruth.net/dvd/opendialogue/" TargetMode="External"/><Relationship Id="rId26" Type="http://schemas.openxmlformats.org/officeDocument/2006/relationships/hyperlink" Target="http://fszk.hu/wp-content/uploads/2015/09/Eletvezetesi_szolgaltatasi_modell_2014_10.pdf" TargetMode="External"/><Relationship Id="rId3" Type="http://schemas.openxmlformats.org/officeDocument/2006/relationships/hyperlink" Target="http://www.wnusp.net/" TargetMode="External"/><Relationship Id="rId21" Type="http://schemas.openxmlformats.org/officeDocument/2006/relationships/hyperlink" Target="http://www.velacanada.org/" TargetMode="External"/><Relationship Id="rId7" Type="http://schemas.openxmlformats.org/officeDocument/2006/relationships/hyperlink" Target="http://lelekhangegyesulet.5mp.eu/web.php?a=lelekhangegyesulet" TargetMode="External"/><Relationship Id="rId12" Type="http://schemas.openxmlformats.org/officeDocument/2006/relationships/hyperlink" Target="http://www.intentionalpeersupport.org/trainings/" TargetMode="External"/><Relationship Id="rId17" Type="http://schemas.openxmlformats.org/officeDocument/2006/relationships/hyperlink" Target="http://opendialogueapproach.co.uk/" TargetMode="External"/><Relationship Id="rId25" Type="http://schemas.openxmlformats.org/officeDocument/2006/relationships/hyperlink" Target="http://www.peoplewho.org/documents/jesperson.decisionmaking.doc" TargetMode="External"/><Relationship Id="rId2" Type="http://schemas.openxmlformats.org/officeDocument/2006/relationships/hyperlink" Target="http://ssrn.com/abstract=2021836" TargetMode="External"/><Relationship Id="rId16" Type="http://schemas.openxmlformats.org/officeDocument/2006/relationships/hyperlink" Target="http://www.tidal-model.com/people.html" TargetMode="External"/><Relationship Id="rId20" Type="http://schemas.openxmlformats.org/officeDocument/2006/relationships/hyperlink" Target="http://www.keyring.org/Home" TargetMode="External"/><Relationship Id="rId1" Type="http://schemas.openxmlformats.org/officeDocument/2006/relationships/hyperlink" Target="http://rehabportal.hu/hirek/mi-a-pszichoszocialis-fogyatekossag" TargetMode="External"/><Relationship Id="rId6" Type="http://schemas.openxmlformats.org/officeDocument/2006/relationships/hyperlink" Target="http://www.hearing-voices.org/" TargetMode="External"/><Relationship Id="rId11" Type="http://schemas.openxmlformats.org/officeDocument/2006/relationships/hyperlink" Target="http://www.intentionalpeersupport.org/what-is-ips/" TargetMode="External"/><Relationship Id="rId24" Type="http://schemas.openxmlformats.org/officeDocument/2006/relationships/hyperlink" Target="https://www.power2u.org/downloads/pace_manual.pdf" TargetMode="External"/><Relationship Id="rId5" Type="http://schemas.openxmlformats.org/officeDocument/2006/relationships/hyperlink" Target="http://pef.hu/pef/start/index.php" TargetMode="External"/><Relationship Id="rId15" Type="http://schemas.openxmlformats.org/officeDocument/2006/relationships/hyperlink" Target="http://www.tidal-model.com/Publications.html" TargetMode="External"/><Relationship Id="rId23" Type="http://schemas.openxmlformats.org/officeDocument/2006/relationships/hyperlink" Target="http://www.circlesnetwork.org.uk/" TargetMode="External"/><Relationship Id="rId10" Type="http://schemas.openxmlformats.org/officeDocument/2006/relationships/hyperlink" Target="http://www.intentionalpeersupport.org/wp-content/uploads/2014/04/IPS-A-Personal-Retrospective.pdf" TargetMode="External"/><Relationship Id="rId19" Type="http://schemas.openxmlformats.org/officeDocument/2006/relationships/hyperlink" Target="http://wildtruth.net/dvd/" TargetMode="External"/><Relationship Id="rId4" Type="http://schemas.openxmlformats.org/officeDocument/2006/relationships/hyperlink" Target="http://www.enusp.org/" TargetMode="External"/><Relationship Id="rId9" Type="http://schemas.openxmlformats.org/officeDocument/2006/relationships/hyperlink" Target="http://ebredesek.hu/node/92" TargetMode="External"/><Relationship Id="rId14" Type="http://schemas.openxmlformats.org/officeDocument/2006/relationships/hyperlink" Target="http://www.tidal-model.com" TargetMode="External"/><Relationship Id="rId22" Type="http://schemas.openxmlformats.org/officeDocument/2006/relationships/hyperlink" Target="http://www.communityworks.info/articles/microboard.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F019-6DDD-438E-9CFA-B1396377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9007</Words>
  <Characters>62152</Characters>
  <Application>Microsoft Office Word</Application>
  <DocSecurity>0</DocSecurity>
  <Lines>517</Lines>
  <Paragraphs>142</Paragraphs>
  <ScaleCrop>false</ScaleCrop>
  <HeadingPairs>
    <vt:vector size="2" baseType="variant">
      <vt:variant>
        <vt:lpstr>Cím</vt:lpstr>
      </vt:variant>
      <vt:variant>
        <vt:i4>1</vt:i4>
      </vt:variant>
    </vt:vector>
  </HeadingPairs>
  <TitlesOfParts>
    <vt:vector size="1" baseType="lpstr">
      <vt:lpstr/>
    </vt:vector>
  </TitlesOfParts>
  <Company>Alapvető Jogok Biztosának Hivatala</Company>
  <LinksUpToDate>false</LinksUpToDate>
  <CharactersWithSpaces>71017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Gurbai Sándor dr.</dc:creator>
  <cp:lastModifiedBy>Pc</cp:lastModifiedBy>
  <cp:revision>9</cp:revision>
  <cp:lastPrinted>2016-05-19T08:09:00Z</cp:lastPrinted>
  <dcterms:created xsi:type="dcterms:W3CDTF">2016-05-21T11:38:00Z</dcterms:created>
  <dcterms:modified xsi:type="dcterms:W3CDTF">2016-05-21T12:07:00Z</dcterms:modified>
</cp:coreProperties>
</file>