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AE4" w:rsidRPr="009851A8" w:rsidRDefault="00CB6AE4" w:rsidP="00465B5A">
      <w:pPr>
        <w:autoSpaceDE w:val="0"/>
        <w:autoSpaceDN w:val="0"/>
        <w:adjustRightInd w:val="0"/>
        <w:spacing w:before="120" w:after="120" w:line="240" w:lineRule="auto"/>
        <w:jc w:val="both"/>
        <w:rPr>
          <w:rFonts w:ascii="Garamond" w:hAnsi="Garamond"/>
          <w:b/>
          <w:sz w:val="23"/>
          <w:szCs w:val="23"/>
          <w:lang w:val="en-GB"/>
        </w:rPr>
      </w:pPr>
    </w:p>
    <w:p w:rsidR="00A037AE" w:rsidRPr="009851A8" w:rsidRDefault="00A037AE" w:rsidP="00465B5A">
      <w:pPr>
        <w:spacing w:before="120" w:after="120" w:line="240" w:lineRule="auto"/>
        <w:jc w:val="center"/>
        <w:rPr>
          <w:rFonts w:ascii="Garamond" w:hAnsi="Garamond" w:cs="Arial"/>
          <w:smallCaps/>
          <w:sz w:val="24"/>
          <w:szCs w:val="24"/>
          <w:lang w:val="en-GB"/>
        </w:rPr>
      </w:pPr>
      <w:r w:rsidRPr="009851A8">
        <w:rPr>
          <w:rFonts w:ascii="Garamond" w:hAnsi="Garamond" w:cs="Arial"/>
          <w:smallCaps/>
          <w:sz w:val="24"/>
          <w:szCs w:val="24"/>
          <w:lang w:val="en-GB"/>
        </w:rPr>
        <w:t>Hungary Fact Sheet 1</w:t>
      </w:r>
    </w:p>
    <w:p w:rsidR="00660DB7" w:rsidRPr="009851A8" w:rsidRDefault="00660DB7" w:rsidP="00465B5A">
      <w:pPr>
        <w:spacing w:before="120" w:after="120" w:line="240" w:lineRule="auto"/>
        <w:jc w:val="center"/>
        <w:rPr>
          <w:rFonts w:ascii="Garamond" w:hAnsi="Garamond" w:cs="Arial"/>
          <w:smallCaps/>
          <w:sz w:val="24"/>
          <w:szCs w:val="24"/>
          <w:lang w:val="en-GB"/>
        </w:rPr>
      </w:pPr>
      <w:r w:rsidRPr="009851A8">
        <w:rPr>
          <w:rFonts w:ascii="Garamond" w:hAnsi="Garamond" w:cs="Arial"/>
          <w:smallCaps/>
          <w:sz w:val="24"/>
          <w:szCs w:val="24"/>
          <w:lang w:val="en-GB"/>
        </w:rPr>
        <w:t>September 2014</w:t>
      </w:r>
    </w:p>
    <w:p w:rsidR="00AC1E59" w:rsidRPr="009851A8" w:rsidRDefault="00933E7F" w:rsidP="00465B5A">
      <w:pPr>
        <w:autoSpaceDE w:val="0"/>
        <w:autoSpaceDN w:val="0"/>
        <w:adjustRightInd w:val="0"/>
        <w:spacing w:before="120" w:after="120" w:line="240" w:lineRule="auto"/>
        <w:jc w:val="center"/>
        <w:rPr>
          <w:rFonts w:ascii="Garamond" w:hAnsi="Garamond" w:cs="Garamond"/>
          <w:b/>
          <w:smallCaps/>
          <w:sz w:val="28"/>
          <w:szCs w:val="28"/>
          <w:lang w:val="en-GB"/>
        </w:rPr>
      </w:pPr>
      <w:r>
        <w:rPr>
          <w:rFonts w:ascii="Garamond" w:hAnsi="Garamond" w:cs="Garamond"/>
          <w:b/>
          <w:smallCaps/>
          <w:sz w:val="28"/>
          <w:szCs w:val="28"/>
          <w:lang w:val="en-GB"/>
        </w:rPr>
        <w:t>Undermining constitutionality</w:t>
      </w:r>
    </w:p>
    <w:p w:rsidR="00F93E17" w:rsidRPr="009851A8" w:rsidRDefault="00F93E17" w:rsidP="00465B5A">
      <w:pPr>
        <w:spacing w:before="120" w:after="120" w:line="240" w:lineRule="auto"/>
        <w:rPr>
          <w:rFonts w:ascii="Garamond" w:hAnsi="Garamond" w:cs="Arial"/>
          <w:b/>
          <w:smallCaps/>
          <w:sz w:val="24"/>
          <w:szCs w:val="24"/>
          <w:lang w:val="en-GB"/>
        </w:rPr>
      </w:pPr>
    </w:p>
    <w:p w:rsidR="001F5DB0" w:rsidRPr="009851A8" w:rsidRDefault="00783F1A" w:rsidP="00C304B0">
      <w:pPr>
        <w:pStyle w:val="Listaszerbekezds"/>
        <w:numPr>
          <w:ilvl w:val="0"/>
          <w:numId w:val="1"/>
        </w:numPr>
        <w:autoSpaceDE w:val="0"/>
        <w:autoSpaceDN w:val="0"/>
        <w:adjustRightInd w:val="0"/>
        <w:spacing w:before="120" w:after="120" w:line="240" w:lineRule="auto"/>
        <w:ind w:left="284" w:hanging="284"/>
        <w:contextualSpacing w:val="0"/>
        <w:jc w:val="both"/>
        <w:rPr>
          <w:rFonts w:ascii="Garamond" w:hAnsi="Garamond"/>
          <w:sz w:val="24"/>
          <w:szCs w:val="24"/>
          <w:u w:val="single"/>
          <w:lang w:val="en-GB"/>
        </w:rPr>
      </w:pPr>
      <w:r w:rsidRPr="009851A8">
        <w:rPr>
          <w:rFonts w:ascii="Garamond" w:hAnsi="Garamond"/>
          <w:sz w:val="24"/>
          <w:szCs w:val="24"/>
          <w:u w:val="single"/>
          <w:lang w:val="en-GB"/>
        </w:rPr>
        <w:t xml:space="preserve">Adopting </w:t>
      </w:r>
      <w:r w:rsidR="00945F7B" w:rsidRPr="009851A8">
        <w:rPr>
          <w:rFonts w:ascii="Garamond" w:hAnsi="Garamond"/>
          <w:sz w:val="24"/>
          <w:szCs w:val="24"/>
          <w:u w:val="single"/>
          <w:lang w:val="en-GB"/>
        </w:rPr>
        <w:t xml:space="preserve">a new constitution; </w:t>
      </w:r>
      <w:r w:rsidR="00BF4688">
        <w:rPr>
          <w:rFonts w:ascii="Garamond" w:hAnsi="Garamond"/>
          <w:sz w:val="24"/>
          <w:szCs w:val="24"/>
          <w:u w:val="single"/>
          <w:lang w:val="en-GB"/>
        </w:rPr>
        <w:t>instrumental attitude towards the cons</w:t>
      </w:r>
      <w:r w:rsidR="00933E7F">
        <w:rPr>
          <w:rFonts w:ascii="Garamond" w:hAnsi="Garamond"/>
          <w:sz w:val="24"/>
          <w:szCs w:val="24"/>
          <w:u w:val="single"/>
          <w:lang w:val="en-GB"/>
        </w:rPr>
        <w:t>t</w:t>
      </w:r>
      <w:r w:rsidR="00BF4688">
        <w:rPr>
          <w:rFonts w:ascii="Garamond" w:hAnsi="Garamond"/>
          <w:sz w:val="24"/>
          <w:szCs w:val="24"/>
          <w:u w:val="single"/>
          <w:lang w:val="en-GB"/>
        </w:rPr>
        <w:t>itution</w:t>
      </w:r>
      <w:r w:rsidR="00BF4688">
        <w:rPr>
          <w:rStyle w:val="Lbjegyzet-hivatkozs"/>
          <w:rFonts w:ascii="Garamond" w:hAnsi="Garamond"/>
          <w:sz w:val="24"/>
          <w:szCs w:val="24"/>
          <w:u w:val="single"/>
          <w:lang w:val="en-GB"/>
        </w:rPr>
        <w:footnoteReference w:id="1"/>
      </w:r>
    </w:p>
    <w:p w:rsidR="001F5DB0" w:rsidRPr="00BF4688" w:rsidRDefault="0041595F" w:rsidP="0041595F">
      <w:pPr>
        <w:pStyle w:val="Listaszerbekezds"/>
        <w:numPr>
          <w:ilvl w:val="0"/>
          <w:numId w:val="29"/>
        </w:numPr>
        <w:autoSpaceDE w:val="0"/>
        <w:autoSpaceDN w:val="0"/>
        <w:adjustRightInd w:val="0"/>
        <w:spacing w:before="120" w:after="120" w:line="240" w:lineRule="auto"/>
        <w:contextualSpacing w:val="0"/>
        <w:jc w:val="both"/>
        <w:rPr>
          <w:rFonts w:ascii="Garamond" w:hAnsi="Garamond"/>
          <w:sz w:val="24"/>
          <w:szCs w:val="24"/>
          <w:lang w:val="en-GB"/>
        </w:rPr>
      </w:pPr>
      <w:r w:rsidRPr="009851A8">
        <w:rPr>
          <w:rFonts w:ascii="Garamond" w:hAnsi="Garamond"/>
          <w:sz w:val="24"/>
          <w:szCs w:val="24"/>
          <w:lang w:val="en-GB"/>
        </w:rPr>
        <w:t>T</w:t>
      </w:r>
      <w:r w:rsidR="00B86306" w:rsidRPr="009851A8">
        <w:rPr>
          <w:rFonts w:ascii="Garamond" w:hAnsi="Garamond"/>
          <w:sz w:val="24"/>
          <w:szCs w:val="24"/>
          <w:lang w:val="en-GB"/>
        </w:rPr>
        <w:t>he Fundamental Law (</w:t>
      </w:r>
      <w:r w:rsidR="00783F1A" w:rsidRPr="009851A8">
        <w:rPr>
          <w:rFonts w:ascii="Garamond" w:hAnsi="Garamond"/>
          <w:sz w:val="24"/>
          <w:szCs w:val="24"/>
          <w:lang w:val="en-GB"/>
        </w:rPr>
        <w:t>the new constitution of Hungary, in force since 1 January 2012</w:t>
      </w:r>
      <w:r w:rsidR="00BC0F81">
        <w:rPr>
          <w:rFonts w:ascii="Garamond" w:hAnsi="Garamond"/>
          <w:sz w:val="24"/>
          <w:szCs w:val="24"/>
          <w:lang w:val="en-GB"/>
        </w:rPr>
        <w:t xml:space="preserve">) </w:t>
      </w:r>
      <w:r w:rsidR="00B86306" w:rsidRPr="009851A8">
        <w:rPr>
          <w:rFonts w:ascii="Garamond" w:hAnsi="Garamond"/>
          <w:sz w:val="24"/>
          <w:szCs w:val="24"/>
          <w:lang w:val="en-GB"/>
        </w:rPr>
        <w:t>is to be considered</w:t>
      </w:r>
      <w:r w:rsidRPr="009851A8">
        <w:rPr>
          <w:rFonts w:ascii="Garamond" w:hAnsi="Garamond"/>
          <w:sz w:val="24"/>
          <w:szCs w:val="24"/>
          <w:lang w:val="en-GB"/>
        </w:rPr>
        <w:t xml:space="preserve"> the product of one political party </w:t>
      </w:r>
      <w:r w:rsidR="00A037AE" w:rsidRPr="009851A8">
        <w:rPr>
          <w:rFonts w:ascii="Garamond" w:hAnsi="Garamond"/>
          <w:sz w:val="24"/>
          <w:szCs w:val="24"/>
          <w:lang w:val="en-GB"/>
        </w:rPr>
        <w:t xml:space="preserve">and </w:t>
      </w:r>
      <w:r w:rsidR="00A037AE" w:rsidRPr="009851A8">
        <w:rPr>
          <w:rFonts w:ascii="Garamond" w:hAnsi="Garamond"/>
          <w:b/>
          <w:sz w:val="24"/>
          <w:szCs w:val="24"/>
          <w:lang w:val="en-GB"/>
        </w:rPr>
        <w:t xml:space="preserve">has been adopted </w:t>
      </w:r>
      <w:r w:rsidR="00A037AE" w:rsidRPr="009851A8">
        <w:rPr>
          <w:rFonts w:ascii="Garamond" w:hAnsi="Garamond"/>
          <w:sz w:val="24"/>
          <w:szCs w:val="24"/>
          <w:lang w:val="en-GB"/>
        </w:rPr>
        <w:t xml:space="preserve">by the governing majority </w:t>
      </w:r>
      <w:r w:rsidR="00A037AE" w:rsidRPr="009851A8">
        <w:rPr>
          <w:rFonts w:ascii="Garamond" w:hAnsi="Garamond"/>
          <w:b/>
          <w:sz w:val="24"/>
          <w:szCs w:val="24"/>
          <w:lang w:val="en-GB"/>
        </w:rPr>
        <w:t>without the support of any other political force</w:t>
      </w:r>
      <w:r w:rsidR="00B86306" w:rsidRPr="009851A8">
        <w:rPr>
          <w:rFonts w:ascii="Garamond" w:hAnsi="Garamond"/>
          <w:sz w:val="24"/>
          <w:szCs w:val="24"/>
          <w:lang w:val="en-GB"/>
        </w:rPr>
        <w:t xml:space="preserve"> – </w:t>
      </w:r>
      <w:r w:rsidR="00BC0F81" w:rsidRPr="009851A8">
        <w:rPr>
          <w:rFonts w:ascii="Garamond" w:hAnsi="Garamond"/>
          <w:sz w:val="24"/>
          <w:szCs w:val="24"/>
          <w:lang w:val="en-GB"/>
        </w:rPr>
        <w:t>provisions from the old Constitu</w:t>
      </w:r>
      <w:r w:rsidR="00BC0F81">
        <w:rPr>
          <w:rFonts w:ascii="Garamond" w:hAnsi="Garamond"/>
          <w:sz w:val="24"/>
          <w:szCs w:val="24"/>
          <w:lang w:val="en-GB"/>
        </w:rPr>
        <w:t>tion that would have forced the governing majority</w:t>
      </w:r>
      <w:r w:rsidR="00BC0F81" w:rsidRPr="009851A8">
        <w:rPr>
          <w:rFonts w:ascii="Garamond" w:hAnsi="Garamond"/>
          <w:sz w:val="24"/>
          <w:szCs w:val="24"/>
          <w:lang w:val="en-GB"/>
        </w:rPr>
        <w:t xml:space="preserve"> to seek consensus with the opposition in this regard</w:t>
      </w:r>
      <w:r w:rsidR="00BC0F81">
        <w:rPr>
          <w:rFonts w:ascii="Garamond" w:hAnsi="Garamond"/>
          <w:sz w:val="24"/>
          <w:szCs w:val="24"/>
          <w:lang w:val="en-GB"/>
        </w:rPr>
        <w:t xml:space="preserve"> </w:t>
      </w:r>
      <w:r w:rsidR="00C71C23">
        <w:rPr>
          <w:rFonts w:ascii="Garamond" w:hAnsi="Garamond"/>
          <w:sz w:val="24"/>
          <w:szCs w:val="24"/>
          <w:lang w:val="en-GB"/>
        </w:rPr>
        <w:t>had been</w:t>
      </w:r>
      <w:r w:rsidR="00BC0F81">
        <w:rPr>
          <w:rFonts w:ascii="Garamond" w:hAnsi="Garamond"/>
          <w:sz w:val="24"/>
          <w:szCs w:val="24"/>
          <w:lang w:val="en-GB"/>
        </w:rPr>
        <w:t xml:space="preserve"> removed by</w:t>
      </w:r>
      <w:r w:rsidR="00BC0F81" w:rsidRPr="009851A8">
        <w:rPr>
          <w:rFonts w:ascii="Garamond" w:hAnsi="Garamond"/>
          <w:sz w:val="24"/>
          <w:szCs w:val="24"/>
          <w:lang w:val="en-GB"/>
        </w:rPr>
        <w:t xml:space="preserve"> </w:t>
      </w:r>
      <w:r w:rsidR="00B86306" w:rsidRPr="009851A8">
        <w:rPr>
          <w:rFonts w:ascii="Garamond" w:hAnsi="Garamond"/>
          <w:sz w:val="24"/>
          <w:szCs w:val="24"/>
          <w:lang w:val="en-GB"/>
        </w:rPr>
        <w:t>t</w:t>
      </w:r>
      <w:r w:rsidR="00BC0F81">
        <w:rPr>
          <w:rFonts w:ascii="Garamond" w:hAnsi="Garamond"/>
          <w:sz w:val="24"/>
          <w:szCs w:val="24"/>
          <w:lang w:val="en-GB"/>
        </w:rPr>
        <w:t xml:space="preserve">hem </w:t>
      </w:r>
      <w:r w:rsidR="00A037AE" w:rsidRPr="009851A8">
        <w:rPr>
          <w:rFonts w:ascii="Garamond" w:hAnsi="Garamond"/>
          <w:sz w:val="24"/>
          <w:szCs w:val="24"/>
          <w:lang w:val="en-GB"/>
        </w:rPr>
        <w:t>earlier</w:t>
      </w:r>
      <w:r w:rsidR="00BC0F81">
        <w:rPr>
          <w:rFonts w:ascii="Garamond" w:hAnsi="Garamond"/>
          <w:sz w:val="24"/>
          <w:szCs w:val="24"/>
          <w:lang w:val="en-GB"/>
        </w:rPr>
        <w:t xml:space="preserve"> on</w:t>
      </w:r>
      <w:r w:rsidR="005C44B0" w:rsidRPr="009851A8">
        <w:rPr>
          <w:rFonts w:ascii="Garamond" w:hAnsi="Garamond"/>
          <w:sz w:val="24"/>
          <w:szCs w:val="24"/>
          <w:lang w:val="en-GB"/>
        </w:rPr>
        <w:t>.</w:t>
      </w:r>
      <w:r w:rsidR="00B86306" w:rsidRPr="009851A8">
        <w:rPr>
          <w:rFonts w:ascii="Garamond" w:hAnsi="Garamond"/>
          <w:sz w:val="24"/>
          <w:szCs w:val="24"/>
          <w:lang w:val="en-GB"/>
        </w:rPr>
        <w:t xml:space="preserve"> </w:t>
      </w:r>
      <w:r w:rsidRPr="00BF4688">
        <w:rPr>
          <w:rFonts w:ascii="Garamond" w:hAnsi="Garamond"/>
          <w:sz w:val="24"/>
          <w:szCs w:val="24"/>
          <w:lang w:val="en-GB"/>
        </w:rPr>
        <w:t>Furthermore, t</w:t>
      </w:r>
      <w:r w:rsidR="00B86306" w:rsidRPr="00BF4688">
        <w:rPr>
          <w:rFonts w:ascii="Garamond" w:hAnsi="Garamond"/>
          <w:sz w:val="24"/>
          <w:szCs w:val="24"/>
          <w:lang w:val="en-GB"/>
        </w:rPr>
        <w:t>he need for a new constitution was not supporte</w:t>
      </w:r>
      <w:r w:rsidRPr="00BF4688">
        <w:rPr>
          <w:rFonts w:ascii="Garamond" w:hAnsi="Garamond"/>
          <w:sz w:val="24"/>
          <w:szCs w:val="24"/>
          <w:lang w:val="en-GB"/>
        </w:rPr>
        <w:t>d by adequate reasons,</w:t>
      </w:r>
      <w:r w:rsidR="00BC0F81">
        <w:rPr>
          <w:rFonts w:ascii="Garamond" w:hAnsi="Garamond"/>
          <w:sz w:val="24"/>
          <w:szCs w:val="24"/>
          <w:lang w:val="en-GB"/>
        </w:rPr>
        <w:t xml:space="preserve"> and</w:t>
      </w:r>
      <w:r w:rsidRPr="00BF4688">
        <w:rPr>
          <w:rFonts w:ascii="Garamond" w:hAnsi="Garamond"/>
          <w:sz w:val="24"/>
          <w:szCs w:val="24"/>
          <w:lang w:val="en-GB"/>
        </w:rPr>
        <w:t xml:space="preserve"> the </w:t>
      </w:r>
      <w:r w:rsidR="00BC0F81">
        <w:rPr>
          <w:rFonts w:ascii="Garamond" w:hAnsi="Garamond"/>
          <w:sz w:val="24"/>
          <w:szCs w:val="24"/>
          <w:lang w:val="en-GB"/>
        </w:rPr>
        <w:t xml:space="preserve">new </w:t>
      </w:r>
      <w:r w:rsidRPr="00BF4688">
        <w:rPr>
          <w:rFonts w:ascii="Garamond" w:hAnsi="Garamond"/>
          <w:sz w:val="24"/>
          <w:szCs w:val="24"/>
          <w:lang w:val="en-GB"/>
        </w:rPr>
        <w:t>c</w:t>
      </w:r>
      <w:r w:rsidR="00B86306" w:rsidRPr="00BF4688">
        <w:rPr>
          <w:rFonts w:ascii="Garamond" w:hAnsi="Garamond"/>
          <w:sz w:val="24"/>
          <w:szCs w:val="24"/>
          <w:lang w:val="en-GB"/>
        </w:rPr>
        <w:t xml:space="preserve">onstitution </w:t>
      </w:r>
      <w:r w:rsidR="00C71C23">
        <w:rPr>
          <w:rFonts w:ascii="Garamond" w:hAnsi="Garamond"/>
          <w:sz w:val="24"/>
          <w:szCs w:val="24"/>
          <w:lang w:val="en-GB"/>
        </w:rPr>
        <w:t>was</w:t>
      </w:r>
      <w:r w:rsidR="00B86306" w:rsidRPr="00BF4688">
        <w:rPr>
          <w:rFonts w:ascii="Garamond" w:hAnsi="Garamond"/>
          <w:sz w:val="24"/>
          <w:szCs w:val="24"/>
          <w:lang w:val="en-GB"/>
        </w:rPr>
        <w:t xml:space="preserve"> prepared in secret, </w:t>
      </w:r>
      <w:r w:rsidRPr="00BF4688">
        <w:rPr>
          <w:rFonts w:ascii="Garamond" w:hAnsi="Garamond"/>
          <w:sz w:val="24"/>
          <w:szCs w:val="24"/>
          <w:lang w:val="en-GB"/>
        </w:rPr>
        <w:t xml:space="preserve">without any adequate </w:t>
      </w:r>
      <w:r w:rsidR="00B86306" w:rsidRPr="00BF4688">
        <w:rPr>
          <w:rFonts w:ascii="Garamond" w:hAnsi="Garamond"/>
          <w:sz w:val="24"/>
          <w:szCs w:val="24"/>
          <w:lang w:val="en-GB"/>
        </w:rPr>
        <w:t>open public debate</w:t>
      </w:r>
      <w:r w:rsidRPr="00BF4688">
        <w:rPr>
          <w:rFonts w:ascii="Garamond" w:hAnsi="Garamond"/>
          <w:sz w:val="24"/>
          <w:szCs w:val="24"/>
          <w:lang w:val="en-GB"/>
        </w:rPr>
        <w:t xml:space="preserve"> or the proper involvement of experts</w:t>
      </w:r>
      <w:r w:rsidR="00B86306" w:rsidRPr="00BF4688">
        <w:rPr>
          <w:rFonts w:ascii="Garamond" w:hAnsi="Garamond"/>
          <w:sz w:val="24"/>
          <w:szCs w:val="24"/>
          <w:lang w:val="en-GB"/>
        </w:rPr>
        <w:t>.</w:t>
      </w:r>
      <w:r w:rsidR="00C304B0" w:rsidRPr="00BF4688">
        <w:rPr>
          <w:rStyle w:val="Lbjegyzet-hivatkozs"/>
          <w:rFonts w:ascii="Garamond" w:hAnsi="Garamond"/>
          <w:sz w:val="24"/>
          <w:szCs w:val="24"/>
          <w:lang w:val="en-GB"/>
        </w:rPr>
        <w:footnoteReference w:id="2"/>
      </w:r>
    </w:p>
    <w:p w:rsidR="00BF4688" w:rsidRPr="00933E7F" w:rsidRDefault="00BF4688" w:rsidP="00933E7F">
      <w:pPr>
        <w:pStyle w:val="Listaszerbekezds"/>
        <w:numPr>
          <w:ilvl w:val="0"/>
          <w:numId w:val="29"/>
        </w:numPr>
        <w:autoSpaceDE w:val="0"/>
        <w:autoSpaceDN w:val="0"/>
        <w:adjustRightInd w:val="0"/>
        <w:spacing w:before="120" w:after="120" w:line="240" w:lineRule="auto"/>
        <w:ind w:left="641" w:hanging="357"/>
        <w:contextualSpacing w:val="0"/>
        <w:jc w:val="both"/>
        <w:rPr>
          <w:rFonts w:ascii="Garamond" w:hAnsi="Garamond"/>
          <w:sz w:val="24"/>
          <w:szCs w:val="24"/>
          <w:lang w:val="en-GB"/>
        </w:rPr>
      </w:pPr>
      <w:r w:rsidRPr="00BF4688">
        <w:rPr>
          <w:rFonts w:ascii="Garamond" w:hAnsi="Garamond"/>
          <w:sz w:val="24"/>
          <w:szCs w:val="24"/>
          <w:lang w:val="en-GB"/>
        </w:rPr>
        <w:t xml:space="preserve">After </w:t>
      </w:r>
      <w:r w:rsidRPr="00933E7F">
        <w:rPr>
          <w:rFonts w:ascii="Garamond" w:hAnsi="Garamond"/>
          <w:sz w:val="24"/>
          <w:szCs w:val="24"/>
          <w:lang w:val="en-GB"/>
        </w:rPr>
        <w:t xml:space="preserve">the elections in 2010, the </w:t>
      </w:r>
      <w:r w:rsidR="00BC0F81">
        <w:rPr>
          <w:rFonts w:ascii="Garamond" w:hAnsi="Garamond"/>
          <w:sz w:val="24"/>
          <w:szCs w:val="24"/>
          <w:lang w:val="en-GB"/>
        </w:rPr>
        <w:t>old C</w:t>
      </w:r>
      <w:r w:rsidRPr="00933E7F">
        <w:rPr>
          <w:rFonts w:ascii="Garamond" w:hAnsi="Garamond"/>
          <w:sz w:val="24"/>
          <w:szCs w:val="24"/>
          <w:lang w:val="en-GB"/>
        </w:rPr>
        <w:t>onstitution was amended 12 times</w:t>
      </w:r>
      <w:r w:rsidR="00BC0F81">
        <w:rPr>
          <w:rFonts w:ascii="Garamond" w:hAnsi="Garamond"/>
          <w:sz w:val="24"/>
          <w:szCs w:val="24"/>
          <w:lang w:val="en-GB"/>
        </w:rPr>
        <w:t xml:space="preserve"> by the governing two-thirds majority</w:t>
      </w:r>
      <w:r w:rsidRPr="00933E7F">
        <w:rPr>
          <w:rFonts w:ascii="Garamond" w:hAnsi="Garamond"/>
          <w:sz w:val="24"/>
          <w:szCs w:val="24"/>
          <w:lang w:val="en-GB"/>
        </w:rPr>
        <w:t xml:space="preserve">, while the Fundamental Law has been amended five times since </w:t>
      </w:r>
      <w:r w:rsidR="00BC0F81">
        <w:rPr>
          <w:rFonts w:ascii="Garamond" w:hAnsi="Garamond"/>
          <w:sz w:val="24"/>
          <w:szCs w:val="24"/>
          <w:lang w:val="en-GB"/>
        </w:rPr>
        <w:t>it came into force</w:t>
      </w:r>
      <w:r w:rsidRPr="00933E7F">
        <w:rPr>
          <w:rFonts w:ascii="Garamond" w:hAnsi="Garamond"/>
          <w:sz w:val="24"/>
          <w:szCs w:val="24"/>
          <w:lang w:val="en-GB"/>
        </w:rPr>
        <w:t>. In its opinion on the Fourth Amendment to the Fundamental Law, the</w:t>
      </w:r>
      <w:r w:rsidR="00933E7F">
        <w:rPr>
          <w:rFonts w:ascii="Garamond" w:hAnsi="Garamond"/>
          <w:sz w:val="24"/>
          <w:szCs w:val="24"/>
          <w:lang w:val="en-GB"/>
        </w:rPr>
        <w:t xml:space="preserve"> Venice Commission warned in this regard that </w:t>
      </w:r>
      <w:r w:rsidRPr="00933E7F">
        <w:rPr>
          <w:rFonts w:ascii="Garamond" w:hAnsi="Garamond"/>
          <w:b/>
          <w:sz w:val="24"/>
          <w:szCs w:val="24"/>
          <w:lang w:val="en-GB"/>
        </w:rPr>
        <w:t>frequent constitutional amendments</w:t>
      </w:r>
      <w:r w:rsidR="00BC0F81">
        <w:rPr>
          <w:rFonts w:ascii="Garamond" w:hAnsi="Garamond"/>
          <w:sz w:val="24"/>
          <w:szCs w:val="24"/>
          <w:lang w:val="en-GB"/>
        </w:rPr>
        <w:t xml:space="preserve"> “</w:t>
      </w:r>
      <w:r w:rsidRPr="00933E7F">
        <w:rPr>
          <w:rFonts w:ascii="Garamond" w:hAnsi="Garamond"/>
          <w:sz w:val="24"/>
          <w:szCs w:val="24"/>
          <w:lang w:val="en-GB"/>
        </w:rPr>
        <w:t xml:space="preserve">are a worrying sign of an </w:t>
      </w:r>
      <w:r w:rsidRPr="00933E7F">
        <w:rPr>
          <w:rFonts w:ascii="Garamond" w:hAnsi="Garamond"/>
          <w:b/>
          <w:sz w:val="24"/>
          <w:szCs w:val="24"/>
          <w:lang w:val="en-GB"/>
        </w:rPr>
        <w:t>instrumental attitude towards the constitution</w:t>
      </w:r>
      <w:r w:rsidRPr="00933E7F">
        <w:rPr>
          <w:rFonts w:ascii="Garamond" w:hAnsi="Garamond"/>
          <w:sz w:val="24"/>
          <w:szCs w:val="24"/>
          <w:lang w:val="en-GB"/>
        </w:rPr>
        <w:t xml:space="preserve"> as is the resort to the exceptional two-thirds majority in constitution-making without a genuine effort to form a wide political consensus and without proper public debates”</w:t>
      </w:r>
      <w:r w:rsidR="00933E7F" w:rsidRPr="00933E7F">
        <w:rPr>
          <w:rFonts w:ascii="Garamond" w:hAnsi="Garamond"/>
          <w:sz w:val="24"/>
          <w:szCs w:val="24"/>
          <w:lang w:val="en-GB"/>
        </w:rPr>
        <w:t>; and that the Fourth Amendment is “the result of an instrumental view of the Constitution as a political means of the governmental majority”.</w:t>
      </w:r>
    </w:p>
    <w:p w:rsidR="00933E7F" w:rsidRPr="00054F7B" w:rsidRDefault="00AC1E59" w:rsidP="00054F7B">
      <w:pPr>
        <w:pStyle w:val="Listaszerbekezds"/>
        <w:numPr>
          <w:ilvl w:val="0"/>
          <w:numId w:val="29"/>
        </w:numPr>
        <w:autoSpaceDE w:val="0"/>
        <w:autoSpaceDN w:val="0"/>
        <w:adjustRightInd w:val="0"/>
        <w:spacing w:before="120" w:after="240" w:line="240" w:lineRule="auto"/>
        <w:ind w:left="641" w:hanging="357"/>
        <w:contextualSpacing w:val="0"/>
        <w:jc w:val="both"/>
        <w:rPr>
          <w:rFonts w:ascii="Garamond" w:hAnsi="Garamond" w:cs="Arial"/>
          <w:color w:val="000000"/>
          <w:sz w:val="24"/>
          <w:szCs w:val="24"/>
          <w:lang w:val="hu-HU" w:eastAsia="hu-HU"/>
        </w:rPr>
      </w:pPr>
      <w:r w:rsidRPr="00933E7F">
        <w:rPr>
          <w:rFonts w:ascii="Garamond" w:hAnsi="Garamond"/>
          <w:sz w:val="24"/>
          <w:szCs w:val="24"/>
          <w:lang w:val="en-GB"/>
        </w:rPr>
        <w:t>As</w:t>
      </w:r>
      <w:r w:rsidR="00933E7F" w:rsidRPr="00933E7F">
        <w:rPr>
          <w:rFonts w:ascii="Garamond" w:hAnsi="Garamond"/>
          <w:sz w:val="24"/>
          <w:szCs w:val="24"/>
          <w:lang w:val="en-GB"/>
        </w:rPr>
        <w:t xml:space="preserve"> concluded </w:t>
      </w:r>
      <w:r w:rsidR="005C44B0" w:rsidRPr="00933E7F">
        <w:rPr>
          <w:rFonts w:ascii="Garamond" w:hAnsi="Garamond"/>
          <w:sz w:val="24"/>
          <w:szCs w:val="24"/>
          <w:lang w:val="en-GB"/>
        </w:rPr>
        <w:t xml:space="preserve">also by </w:t>
      </w:r>
      <w:r w:rsidRPr="00933E7F">
        <w:rPr>
          <w:rFonts w:ascii="Garamond" w:hAnsi="Garamond"/>
          <w:sz w:val="24"/>
          <w:szCs w:val="24"/>
          <w:lang w:val="en-GB"/>
        </w:rPr>
        <w:t>the Venice Commission</w:t>
      </w:r>
      <w:r w:rsidR="00933E7F" w:rsidRPr="00933E7F">
        <w:rPr>
          <w:rFonts w:ascii="Garamond" w:hAnsi="Garamond"/>
          <w:sz w:val="24"/>
          <w:szCs w:val="24"/>
          <w:lang w:val="en-GB"/>
        </w:rPr>
        <w:t>, it became the governing majority’s “</w:t>
      </w:r>
      <w:r w:rsidR="00933E7F" w:rsidRPr="00BC0F81">
        <w:rPr>
          <w:rFonts w:ascii="Garamond" w:hAnsi="Garamond"/>
          <w:b/>
          <w:sz w:val="24"/>
          <w:szCs w:val="24"/>
          <w:lang w:val="en-GB"/>
        </w:rPr>
        <w:t>systematic approach</w:t>
      </w:r>
      <w:r w:rsidR="00933E7F">
        <w:rPr>
          <w:rFonts w:ascii="Garamond" w:hAnsi="Garamond"/>
          <w:sz w:val="24"/>
          <w:szCs w:val="24"/>
          <w:lang w:val="en-GB"/>
        </w:rPr>
        <w:t>”</w:t>
      </w:r>
      <w:r w:rsidR="00610A30">
        <w:rPr>
          <w:rFonts w:ascii="Garamond" w:hAnsi="Garamond"/>
          <w:sz w:val="24"/>
          <w:szCs w:val="24"/>
          <w:lang w:val="en-GB"/>
        </w:rPr>
        <w:t xml:space="preserve"> – applied </w:t>
      </w:r>
      <w:r w:rsidR="00BC0F81">
        <w:rPr>
          <w:rFonts w:ascii="Garamond" w:hAnsi="Garamond"/>
          <w:sz w:val="24"/>
          <w:szCs w:val="24"/>
          <w:lang w:val="en-GB"/>
        </w:rPr>
        <w:t>already with regard to the former c</w:t>
      </w:r>
      <w:r w:rsidR="00610A30">
        <w:rPr>
          <w:rFonts w:ascii="Garamond" w:hAnsi="Garamond"/>
          <w:sz w:val="24"/>
          <w:szCs w:val="24"/>
          <w:lang w:val="en-GB"/>
        </w:rPr>
        <w:t xml:space="preserve">onstitution – that </w:t>
      </w:r>
      <w:r w:rsidR="00933E7F" w:rsidRPr="00933E7F">
        <w:rPr>
          <w:rFonts w:ascii="Garamond" w:hAnsi="Garamond"/>
          <w:sz w:val="24"/>
          <w:szCs w:val="24"/>
          <w:lang w:val="en-GB"/>
        </w:rPr>
        <w:t xml:space="preserve"> </w:t>
      </w:r>
      <w:r w:rsidR="00595902" w:rsidRPr="00610A30">
        <w:rPr>
          <w:rFonts w:ascii="Garamond" w:hAnsi="Garamond"/>
          <w:b/>
          <w:sz w:val="24"/>
          <w:szCs w:val="24"/>
          <w:lang w:val="en-GB"/>
        </w:rPr>
        <w:t>p</w:t>
      </w:r>
      <w:r w:rsidRPr="00610A30">
        <w:rPr>
          <w:rFonts w:ascii="Garamond" w:hAnsi="Garamond"/>
          <w:b/>
          <w:sz w:val="24"/>
          <w:szCs w:val="24"/>
          <w:lang w:val="en-GB"/>
        </w:rPr>
        <w:t>rovisions</w:t>
      </w:r>
      <w:r w:rsidRPr="00610A30">
        <w:rPr>
          <w:rFonts w:ascii="Garamond" w:hAnsi="Garamond"/>
          <w:sz w:val="24"/>
          <w:szCs w:val="24"/>
          <w:lang w:val="en-GB"/>
        </w:rPr>
        <w:t xml:space="preserve"> of ordinary laws </w:t>
      </w:r>
      <w:r w:rsidR="00595902" w:rsidRPr="00610A30">
        <w:rPr>
          <w:rFonts w:ascii="Garamond" w:hAnsi="Garamond"/>
          <w:sz w:val="24"/>
          <w:szCs w:val="24"/>
          <w:lang w:val="en-GB"/>
        </w:rPr>
        <w:t>which had been</w:t>
      </w:r>
      <w:r w:rsidRPr="00610A30">
        <w:rPr>
          <w:rFonts w:ascii="Garamond" w:hAnsi="Garamond"/>
          <w:sz w:val="24"/>
          <w:szCs w:val="24"/>
          <w:lang w:val="en-GB"/>
        </w:rPr>
        <w:t xml:space="preserve"> </w:t>
      </w:r>
      <w:r w:rsidR="00595902" w:rsidRPr="00610A30">
        <w:rPr>
          <w:rFonts w:ascii="Garamond" w:hAnsi="Garamond"/>
          <w:sz w:val="24"/>
          <w:szCs w:val="24"/>
          <w:lang w:val="en-GB"/>
        </w:rPr>
        <w:t xml:space="preserve">previously </w:t>
      </w:r>
      <w:r w:rsidRPr="00610A30">
        <w:rPr>
          <w:rFonts w:ascii="Garamond" w:hAnsi="Garamond"/>
          <w:b/>
          <w:sz w:val="24"/>
          <w:szCs w:val="24"/>
          <w:lang w:val="en-GB"/>
        </w:rPr>
        <w:t>found unconstitutional</w:t>
      </w:r>
      <w:r w:rsidRPr="00610A30">
        <w:rPr>
          <w:rFonts w:ascii="Garamond" w:hAnsi="Garamond"/>
          <w:sz w:val="24"/>
          <w:szCs w:val="24"/>
          <w:lang w:val="en-GB"/>
        </w:rPr>
        <w:t xml:space="preserve"> and were annulled by the Constitutional Court </w:t>
      </w:r>
      <w:r w:rsidR="00C71C23">
        <w:rPr>
          <w:rFonts w:ascii="Garamond" w:hAnsi="Garamond"/>
          <w:b/>
          <w:sz w:val="24"/>
          <w:szCs w:val="24"/>
          <w:lang w:val="en-GB"/>
        </w:rPr>
        <w:t>were</w:t>
      </w:r>
      <w:r w:rsidRPr="00610A30">
        <w:rPr>
          <w:rFonts w:ascii="Garamond" w:hAnsi="Garamond"/>
          <w:b/>
          <w:sz w:val="24"/>
          <w:szCs w:val="24"/>
          <w:lang w:val="en-GB"/>
        </w:rPr>
        <w:t xml:space="preserve"> reintroduced on the constitut</w:t>
      </w:r>
      <w:r w:rsidR="00595902" w:rsidRPr="00610A30">
        <w:rPr>
          <w:rFonts w:ascii="Garamond" w:hAnsi="Garamond"/>
          <w:b/>
          <w:sz w:val="24"/>
          <w:szCs w:val="24"/>
          <w:lang w:val="en-GB"/>
        </w:rPr>
        <w:t>ional level</w:t>
      </w:r>
      <w:r w:rsidR="00783F1A" w:rsidRPr="00610A30">
        <w:rPr>
          <w:rFonts w:ascii="Garamond" w:hAnsi="Garamond"/>
          <w:sz w:val="24"/>
          <w:szCs w:val="24"/>
          <w:lang w:val="en-GB"/>
        </w:rPr>
        <w:t>, overruling the Constitutional Court</w:t>
      </w:r>
      <w:r w:rsidR="00945F7B" w:rsidRPr="00610A30">
        <w:rPr>
          <w:rFonts w:ascii="Garamond" w:hAnsi="Garamond"/>
          <w:sz w:val="24"/>
          <w:szCs w:val="24"/>
          <w:lang w:val="en-GB"/>
        </w:rPr>
        <w:t>.</w:t>
      </w:r>
      <w:r w:rsidR="00B86306" w:rsidRPr="00933E7F">
        <w:rPr>
          <w:rStyle w:val="Lbjegyzet-hivatkozs"/>
          <w:rFonts w:ascii="Garamond" w:hAnsi="Garamond"/>
          <w:b/>
          <w:sz w:val="24"/>
          <w:szCs w:val="24"/>
          <w:lang w:val="en-GB"/>
        </w:rPr>
        <w:footnoteReference w:id="3"/>
      </w:r>
      <w:r w:rsidR="00783F1A" w:rsidRPr="00610A30">
        <w:rPr>
          <w:rFonts w:ascii="Garamond" w:hAnsi="Garamond"/>
          <w:sz w:val="24"/>
          <w:szCs w:val="24"/>
          <w:lang w:val="en-GB"/>
        </w:rPr>
        <w:t xml:space="preserve"> (By i</w:t>
      </w:r>
      <w:r w:rsidR="00595902" w:rsidRPr="00610A30">
        <w:rPr>
          <w:rFonts w:ascii="Garamond" w:hAnsi="Garamond"/>
          <w:sz w:val="24"/>
          <w:szCs w:val="24"/>
          <w:lang w:val="en-GB"/>
        </w:rPr>
        <w:t>nserting the respective provisions into the constitution, the Parliament excluded</w:t>
      </w:r>
      <w:r w:rsidRPr="00610A30">
        <w:rPr>
          <w:rFonts w:ascii="Garamond" w:hAnsi="Garamond"/>
          <w:sz w:val="24"/>
          <w:szCs w:val="24"/>
          <w:lang w:val="en-GB"/>
        </w:rPr>
        <w:t xml:space="preserve"> the possibility of re</w:t>
      </w:r>
      <w:r w:rsidR="00595902" w:rsidRPr="00610A30">
        <w:rPr>
          <w:rFonts w:ascii="Garamond" w:hAnsi="Garamond"/>
          <w:sz w:val="24"/>
          <w:szCs w:val="24"/>
          <w:lang w:val="en-GB"/>
        </w:rPr>
        <w:t>view by the C</w:t>
      </w:r>
      <w:r w:rsidR="00783F1A" w:rsidRPr="00610A30">
        <w:rPr>
          <w:rFonts w:ascii="Garamond" w:hAnsi="Garamond"/>
          <w:sz w:val="24"/>
          <w:szCs w:val="24"/>
          <w:lang w:val="en-GB"/>
        </w:rPr>
        <w:t xml:space="preserve">onstitutional </w:t>
      </w:r>
      <w:r w:rsidR="00595902" w:rsidRPr="00610A30">
        <w:rPr>
          <w:rFonts w:ascii="Garamond" w:hAnsi="Garamond"/>
          <w:sz w:val="24"/>
          <w:szCs w:val="24"/>
          <w:lang w:val="en-GB"/>
        </w:rPr>
        <w:t>C</w:t>
      </w:r>
      <w:r w:rsidR="00783F1A" w:rsidRPr="00610A30">
        <w:rPr>
          <w:rFonts w:ascii="Garamond" w:hAnsi="Garamond"/>
          <w:sz w:val="24"/>
          <w:szCs w:val="24"/>
          <w:lang w:val="en-GB"/>
        </w:rPr>
        <w:t>ourt</w:t>
      </w:r>
      <w:r w:rsidR="00595902" w:rsidRPr="00610A30">
        <w:rPr>
          <w:rFonts w:ascii="Garamond" w:hAnsi="Garamond"/>
          <w:sz w:val="24"/>
          <w:szCs w:val="24"/>
          <w:lang w:val="en-GB"/>
        </w:rPr>
        <w:t>.</w:t>
      </w:r>
      <w:r w:rsidR="00783F1A" w:rsidRPr="00610A30">
        <w:rPr>
          <w:rFonts w:ascii="Garamond" w:hAnsi="Garamond"/>
          <w:sz w:val="24"/>
          <w:szCs w:val="24"/>
          <w:lang w:val="en-GB"/>
        </w:rPr>
        <w:t>)</w:t>
      </w:r>
      <w:r w:rsidR="00595902" w:rsidRPr="00610A30">
        <w:rPr>
          <w:rFonts w:ascii="Garamond" w:hAnsi="Garamond"/>
          <w:sz w:val="24"/>
          <w:szCs w:val="24"/>
          <w:lang w:val="en-GB"/>
        </w:rPr>
        <w:t xml:space="preserve"> </w:t>
      </w:r>
      <w:r w:rsidR="00783F1A" w:rsidRPr="00610A30">
        <w:rPr>
          <w:rFonts w:ascii="Garamond" w:hAnsi="Garamond"/>
          <w:sz w:val="24"/>
          <w:szCs w:val="24"/>
          <w:lang w:val="en-GB"/>
        </w:rPr>
        <w:t>Thus, the Fundamental Law</w:t>
      </w:r>
      <w:r w:rsidR="00595902" w:rsidRPr="00610A30">
        <w:rPr>
          <w:rFonts w:ascii="Garamond" w:hAnsi="Garamond"/>
          <w:sz w:val="24"/>
          <w:szCs w:val="24"/>
          <w:lang w:val="en-GB"/>
        </w:rPr>
        <w:t xml:space="preserve"> has ceased to be an effective instrument in limiting the legislator’s powers</w:t>
      </w:r>
      <w:r w:rsidR="00054F7B">
        <w:rPr>
          <w:rFonts w:ascii="Garamond" w:hAnsi="Garamond"/>
          <w:sz w:val="24"/>
          <w:szCs w:val="24"/>
          <w:lang w:val="en-GB"/>
        </w:rPr>
        <w:t xml:space="preserve">. Furthermore, as stated by the </w:t>
      </w:r>
      <w:r w:rsidR="00054F7B" w:rsidRPr="00054F7B">
        <w:rPr>
          <w:rFonts w:ascii="Garamond" w:hAnsi="Garamond"/>
          <w:sz w:val="24"/>
          <w:szCs w:val="24"/>
          <w:lang w:val="en-GB"/>
        </w:rPr>
        <w:t xml:space="preserve">Venice Commission, </w:t>
      </w:r>
      <w:r w:rsidR="00054F7B">
        <w:rPr>
          <w:rFonts w:ascii="Garamond" w:hAnsi="Garamond" w:cs="Arial"/>
          <w:color w:val="000000"/>
          <w:sz w:val="24"/>
          <w:szCs w:val="24"/>
          <w:lang w:val="en-GB" w:eastAsia="hu-HU"/>
        </w:rPr>
        <w:t>“</w:t>
      </w:r>
      <w:proofErr w:type="spellStart"/>
      <w:r w:rsidR="00054F7B" w:rsidRPr="00054F7B">
        <w:rPr>
          <w:rFonts w:ascii="Garamond" w:hAnsi="Garamond" w:cs="Arial"/>
          <w:color w:val="000000"/>
          <w:sz w:val="24"/>
          <w:szCs w:val="24"/>
          <w:lang w:val="en-GB" w:eastAsia="hu-HU"/>
        </w:rPr>
        <w:t>constitutionalising</w:t>
      </w:r>
      <w:proofErr w:type="spellEnd"/>
      <w:r w:rsidR="00054F7B" w:rsidRPr="00054F7B">
        <w:rPr>
          <w:rFonts w:ascii="Garamond" w:hAnsi="Garamond" w:cs="Arial"/>
          <w:color w:val="000000"/>
          <w:sz w:val="24"/>
          <w:szCs w:val="24"/>
          <w:lang w:val="en-GB" w:eastAsia="hu-HU"/>
        </w:rPr>
        <w:t>”</w:t>
      </w:r>
      <w:r w:rsidR="00933E7F" w:rsidRPr="00054F7B">
        <w:rPr>
          <w:rFonts w:ascii="Garamond" w:hAnsi="Garamond" w:cs="Arial"/>
          <w:color w:val="000000"/>
          <w:sz w:val="24"/>
          <w:szCs w:val="24"/>
          <w:lang w:val="en-GB" w:eastAsia="hu-HU"/>
        </w:rPr>
        <w:t xml:space="preserve"> provisions declared unconstitutional </w:t>
      </w:r>
      <w:r w:rsidR="00BC0F81">
        <w:rPr>
          <w:rFonts w:ascii="Garamond" w:hAnsi="Garamond" w:cs="Arial"/>
          <w:color w:val="000000"/>
          <w:sz w:val="24"/>
          <w:szCs w:val="24"/>
          <w:lang w:val="en-GB" w:eastAsia="hu-HU"/>
        </w:rPr>
        <w:t>“</w:t>
      </w:r>
      <w:r w:rsidR="00933E7F" w:rsidRPr="00054F7B">
        <w:rPr>
          <w:rFonts w:ascii="Garamond" w:hAnsi="Garamond" w:cs="Arial"/>
          <w:color w:val="000000"/>
          <w:sz w:val="24"/>
          <w:szCs w:val="24"/>
          <w:lang w:val="en-GB" w:eastAsia="hu-HU"/>
        </w:rPr>
        <w:t>threatens to deprive the Constitutional Court of its main function as the guardian of constitutionality and as a control organ in the democratic system of checks and balances</w:t>
      </w:r>
      <w:r w:rsidR="00054F7B" w:rsidRPr="00054F7B">
        <w:rPr>
          <w:rFonts w:ascii="Garamond" w:hAnsi="Garamond" w:cs="Arial"/>
          <w:color w:val="000000"/>
          <w:sz w:val="24"/>
          <w:szCs w:val="24"/>
          <w:lang w:val="en-GB" w:eastAsia="hu-HU"/>
        </w:rPr>
        <w:t>”</w:t>
      </w:r>
      <w:r w:rsidR="00933E7F" w:rsidRPr="00054F7B">
        <w:rPr>
          <w:rFonts w:ascii="Garamond" w:hAnsi="Garamond" w:cs="Arial"/>
          <w:color w:val="000000"/>
          <w:sz w:val="24"/>
          <w:szCs w:val="24"/>
          <w:lang w:val="en-GB" w:eastAsia="hu-HU"/>
        </w:rPr>
        <w:t>.</w:t>
      </w:r>
      <w:r w:rsidR="00933E7F" w:rsidRPr="00054F7B">
        <w:rPr>
          <w:rFonts w:ascii="Garamond" w:hAnsi="Garamond" w:cs="Arial"/>
          <w:color w:val="000000"/>
          <w:sz w:val="24"/>
          <w:szCs w:val="24"/>
          <w:lang w:val="hu-HU" w:eastAsia="hu-HU"/>
        </w:rPr>
        <w:t xml:space="preserve"> </w:t>
      </w:r>
    </w:p>
    <w:p w:rsidR="001F5DB0" w:rsidRPr="009851A8" w:rsidRDefault="001F5DB0" w:rsidP="00755034">
      <w:pPr>
        <w:pStyle w:val="Listaszerbekezds"/>
        <w:numPr>
          <w:ilvl w:val="0"/>
          <w:numId w:val="1"/>
        </w:numPr>
        <w:autoSpaceDE w:val="0"/>
        <w:autoSpaceDN w:val="0"/>
        <w:adjustRightInd w:val="0"/>
        <w:spacing w:before="120" w:after="120" w:line="240" w:lineRule="auto"/>
        <w:ind w:left="284" w:hanging="284"/>
        <w:contextualSpacing w:val="0"/>
        <w:jc w:val="both"/>
        <w:rPr>
          <w:rFonts w:ascii="Garamond" w:hAnsi="Garamond"/>
          <w:sz w:val="24"/>
          <w:szCs w:val="24"/>
          <w:u w:val="single"/>
          <w:lang w:val="en-GB"/>
        </w:rPr>
      </w:pPr>
      <w:r w:rsidRPr="009851A8">
        <w:rPr>
          <w:rFonts w:ascii="Garamond" w:hAnsi="Garamond"/>
          <w:sz w:val="24"/>
          <w:szCs w:val="24"/>
          <w:u w:val="single"/>
          <w:lang w:val="en-GB"/>
        </w:rPr>
        <w:t>Weakening the control exercised by the Constitutional Court over the Parliament;</w:t>
      </w:r>
      <w:r w:rsidR="0041595F" w:rsidRPr="009851A8">
        <w:rPr>
          <w:rStyle w:val="Lbjegyzet-hivatkozs"/>
          <w:rFonts w:ascii="Garamond" w:hAnsi="Garamond"/>
          <w:sz w:val="24"/>
          <w:szCs w:val="24"/>
          <w:u w:val="single"/>
          <w:lang w:val="en-GB"/>
        </w:rPr>
        <w:footnoteReference w:id="4"/>
      </w:r>
      <w:r w:rsidRPr="009851A8">
        <w:rPr>
          <w:rFonts w:ascii="Garamond" w:hAnsi="Garamond"/>
          <w:sz w:val="24"/>
          <w:szCs w:val="24"/>
          <w:u w:val="single"/>
          <w:lang w:val="en-GB"/>
        </w:rPr>
        <w:t xml:space="preserve"> “court-packing”</w:t>
      </w:r>
    </w:p>
    <w:p w:rsidR="00755034" w:rsidRPr="00054F7B" w:rsidRDefault="00940269" w:rsidP="00054F7B">
      <w:pPr>
        <w:pStyle w:val="Listaszerbekezds"/>
        <w:numPr>
          <w:ilvl w:val="0"/>
          <w:numId w:val="28"/>
        </w:numPr>
        <w:autoSpaceDE w:val="0"/>
        <w:autoSpaceDN w:val="0"/>
        <w:adjustRightInd w:val="0"/>
        <w:spacing w:before="120" w:after="120" w:line="240" w:lineRule="auto"/>
        <w:ind w:left="641" w:hanging="357"/>
        <w:contextualSpacing w:val="0"/>
        <w:jc w:val="both"/>
        <w:rPr>
          <w:rFonts w:ascii="Garamond" w:hAnsi="Garamond"/>
          <w:sz w:val="24"/>
          <w:szCs w:val="24"/>
          <w:lang w:val="en-GB"/>
        </w:rPr>
      </w:pPr>
      <w:r w:rsidRPr="00054F7B">
        <w:rPr>
          <w:rFonts w:ascii="Garamond" w:hAnsi="Garamond"/>
          <w:sz w:val="24"/>
          <w:szCs w:val="24"/>
          <w:lang w:val="en-GB"/>
        </w:rPr>
        <w:t>The Constitutional Court</w:t>
      </w:r>
      <w:r w:rsidR="00AE63D0" w:rsidRPr="00054F7B">
        <w:rPr>
          <w:rFonts w:ascii="Garamond" w:hAnsi="Garamond"/>
          <w:sz w:val="24"/>
          <w:szCs w:val="24"/>
          <w:lang w:val="en-GB"/>
        </w:rPr>
        <w:t xml:space="preserve">’s </w:t>
      </w:r>
      <w:r w:rsidR="00755034" w:rsidRPr="00054F7B">
        <w:rPr>
          <w:rFonts w:ascii="Garamond" w:hAnsi="Garamond"/>
          <w:sz w:val="24"/>
          <w:szCs w:val="24"/>
          <w:lang w:val="en-GB"/>
        </w:rPr>
        <w:t xml:space="preserve">(CC) </w:t>
      </w:r>
      <w:r w:rsidR="00AE63D0" w:rsidRPr="00054F7B">
        <w:rPr>
          <w:rFonts w:ascii="Garamond" w:hAnsi="Garamond"/>
          <w:b/>
          <w:sz w:val="24"/>
          <w:szCs w:val="24"/>
          <w:lang w:val="en-GB"/>
        </w:rPr>
        <w:t xml:space="preserve">competence </w:t>
      </w:r>
      <w:r w:rsidR="00BF4688" w:rsidRPr="00054F7B">
        <w:rPr>
          <w:rFonts w:ascii="Garamond" w:hAnsi="Garamond"/>
          <w:b/>
          <w:sz w:val="24"/>
          <w:szCs w:val="24"/>
          <w:lang w:val="en-GB"/>
        </w:rPr>
        <w:t xml:space="preserve">has been </w:t>
      </w:r>
      <w:r w:rsidR="00BC0F81">
        <w:rPr>
          <w:rFonts w:ascii="Garamond" w:hAnsi="Garamond"/>
          <w:b/>
          <w:sz w:val="24"/>
          <w:szCs w:val="24"/>
          <w:lang w:val="en-GB"/>
        </w:rPr>
        <w:t>restrict</w:t>
      </w:r>
      <w:r w:rsidR="00AE63D0" w:rsidRPr="00054F7B">
        <w:rPr>
          <w:rFonts w:ascii="Garamond" w:hAnsi="Garamond"/>
          <w:b/>
          <w:sz w:val="24"/>
          <w:szCs w:val="24"/>
          <w:lang w:val="en-GB"/>
        </w:rPr>
        <w:t xml:space="preserve">ed </w:t>
      </w:r>
      <w:r w:rsidR="00BC0F81">
        <w:rPr>
          <w:rFonts w:ascii="Garamond" w:hAnsi="Garamond"/>
          <w:b/>
          <w:sz w:val="24"/>
          <w:szCs w:val="24"/>
          <w:lang w:val="en-GB"/>
        </w:rPr>
        <w:t xml:space="preserve">by the Fundamental Law </w:t>
      </w:r>
      <w:r w:rsidR="00AE63D0" w:rsidRPr="00054F7B">
        <w:rPr>
          <w:rFonts w:ascii="Garamond" w:hAnsi="Garamond"/>
          <w:b/>
          <w:sz w:val="24"/>
          <w:szCs w:val="24"/>
          <w:lang w:val="en-GB"/>
        </w:rPr>
        <w:t xml:space="preserve">in relation to laws on </w:t>
      </w:r>
      <w:r w:rsidR="00A037AE" w:rsidRPr="00054F7B">
        <w:rPr>
          <w:rFonts w:ascii="Garamond" w:hAnsi="Garamond"/>
          <w:b/>
          <w:sz w:val="24"/>
          <w:szCs w:val="24"/>
          <w:lang w:val="en-GB"/>
        </w:rPr>
        <w:t>central budget and taxes</w:t>
      </w:r>
      <w:r w:rsidR="00BF4688" w:rsidRPr="00054F7B">
        <w:rPr>
          <w:rFonts w:ascii="Garamond" w:hAnsi="Garamond"/>
          <w:sz w:val="24"/>
          <w:szCs w:val="24"/>
          <w:lang w:val="en-GB"/>
        </w:rPr>
        <w:t>, shielding potentially unconstitutional laws from constitutional review even when budgetary problems have subsided</w:t>
      </w:r>
      <w:r w:rsidR="00E320A3">
        <w:rPr>
          <w:rFonts w:ascii="Garamond" w:hAnsi="Garamond"/>
          <w:sz w:val="24"/>
          <w:szCs w:val="24"/>
          <w:lang w:val="en-GB"/>
        </w:rPr>
        <w:t>, which was also criticized by the Venice Commission</w:t>
      </w:r>
      <w:r w:rsidR="00BF4688" w:rsidRPr="00054F7B">
        <w:rPr>
          <w:rFonts w:ascii="Garamond" w:hAnsi="Garamond"/>
          <w:sz w:val="24"/>
          <w:szCs w:val="24"/>
          <w:lang w:val="en-GB"/>
        </w:rPr>
        <w:t xml:space="preserve">. </w:t>
      </w:r>
      <w:r w:rsidR="00755034" w:rsidRPr="00054F7B">
        <w:rPr>
          <w:rFonts w:ascii="Garamond" w:eastAsia="Garamond" w:hAnsi="Garamond" w:cs="Garamond"/>
          <w:sz w:val="24"/>
          <w:szCs w:val="24"/>
          <w:lang w:val="en-GB"/>
        </w:rPr>
        <w:t xml:space="preserve">The Fourth Amendment </w:t>
      </w:r>
      <w:r w:rsidR="00876920" w:rsidRPr="00054F7B">
        <w:rPr>
          <w:rFonts w:ascii="Garamond" w:eastAsia="Garamond" w:hAnsi="Garamond" w:cs="Garamond"/>
          <w:sz w:val="24"/>
          <w:szCs w:val="24"/>
          <w:lang w:val="en-GB"/>
        </w:rPr>
        <w:t xml:space="preserve">to the Fundamental Law </w:t>
      </w:r>
      <w:r w:rsidR="00EC1900" w:rsidRPr="00054F7B">
        <w:rPr>
          <w:rFonts w:ascii="Garamond" w:eastAsia="Garamond" w:hAnsi="Garamond" w:cs="Garamond"/>
          <w:sz w:val="24"/>
          <w:szCs w:val="24"/>
          <w:lang w:val="en-GB"/>
        </w:rPr>
        <w:t>prohibited</w:t>
      </w:r>
      <w:r w:rsidR="00755034" w:rsidRPr="00054F7B">
        <w:rPr>
          <w:rFonts w:ascii="Garamond" w:eastAsia="Garamond" w:hAnsi="Garamond" w:cs="Garamond"/>
          <w:sz w:val="24"/>
          <w:szCs w:val="24"/>
          <w:lang w:val="en-GB"/>
        </w:rPr>
        <w:t xml:space="preserve"> the CC from examining the substantive </w:t>
      </w:r>
      <w:r w:rsidR="00755034" w:rsidRPr="00054F7B">
        <w:rPr>
          <w:rFonts w:ascii="Garamond" w:eastAsia="Garamond" w:hAnsi="Garamond" w:cs="Garamond"/>
          <w:sz w:val="24"/>
          <w:szCs w:val="24"/>
          <w:lang w:val="en-GB"/>
        </w:rPr>
        <w:lastRenderedPageBreak/>
        <w:t>constitutionality of proposed amendments to the Fundamental Law</w:t>
      </w:r>
      <w:r w:rsidR="00B86306" w:rsidRPr="00054F7B">
        <w:rPr>
          <w:rFonts w:ascii="Garamond" w:eastAsia="Garamond" w:hAnsi="Garamond" w:cs="Garamond"/>
          <w:sz w:val="24"/>
          <w:szCs w:val="24"/>
          <w:lang w:val="en-GB"/>
        </w:rPr>
        <w:t xml:space="preserve">, the latter being </w:t>
      </w:r>
      <w:r w:rsidR="00C71C23">
        <w:rPr>
          <w:rFonts w:ascii="Garamond" w:eastAsia="Garamond" w:hAnsi="Garamond" w:cs="Garamond"/>
          <w:sz w:val="24"/>
          <w:szCs w:val="24"/>
          <w:lang w:val="en-GB"/>
        </w:rPr>
        <w:t>not only in contradiction with</w:t>
      </w:r>
      <w:r w:rsidR="00755034" w:rsidRPr="00054F7B">
        <w:rPr>
          <w:rFonts w:ascii="Garamond" w:eastAsia="Garamond" w:hAnsi="Garamond" w:cs="Garamond"/>
          <w:sz w:val="24"/>
          <w:szCs w:val="24"/>
          <w:lang w:val="en-GB"/>
        </w:rPr>
        <w:t xml:space="preserve"> a recent dec</w:t>
      </w:r>
      <w:r w:rsidR="00B86306" w:rsidRPr="00054F7B">
        <w:rPr>
          <w:rFonts w:ascii="Garamond" w:eastAsia="Garamond" w:hAnsi="Garamond" w:cs="Garamond"/>
          <w:sz w:val="24"/>
          <w:szCs w:val="24"/>
          <w:lang w:val="en-GB"/>
        </w:rPr>
        <w:t>ision of the CC, but also allowing</w:t>
      </w:r>
      <w:r w:rsidR="00755034" w:rsidRPr="00054F7B">
        <w:rPr>
          <w:rFonts w:ascii="Garamond" w:eastAsia="Garamond" w:hAnsi="Garamond" w:cs="Garamond"/>
          <w:sz w:val="24"/>
          <w:szCs w:val="24"/>
          <w:lang w:val="en-GB"/>
        </w:rPr>
        <w:t xml:space="preserve"> the Fundamental Law to be amended according to the political a</w:t>
      </w:r>
      <w:r w:rsidR="00B86306" w:rsidRPr="00054F7B">
        <w:rPr>
          <w:rFonts w:ascii="Garamond" w:eastAsia="Garamond" w:hAnsi="Garamond" w:cs="Garamond"/>
          <w:sz w:val="24"/>
          <w:szCs w:val="24"/>
          <w:lang w:val="en-GB"/>
        </w:rPr>
        <w:t>genda of the governing majority</w:t>
      </w:r>
      <w:r w:rsidR="00755034" w:rsidRPr="00054F7B">
        <w:rPr>
          <w:rFonts w:ascii="Garamond" w:eastAsia="Garamond" w:hAnsi="Garamond" w:cs="Garamond"/>
          <w:sz w:val="24"/>
          <w:szCs w:val="24"/>
          <w:lang w:val="en-GB"/>
        </w:rPr>
        <w:t>.</w:t>
      </w:r>
    </w:p>
    <w:p w:rsidR="00755034" w:rsidRPr="00054F7B" w:rsidRDefault="00755034" w:rsidP="00054F7B">
      <w:pPr>
        <w:pStyle w:val="Listaszerbekezds"/>
        <w:numPr>
          <w:ilvl w:val="0"/>
          <w:numId w:val="28"/>
        </w:numPr>
        <w:spacing w:before="120" w:after="120" w:line="240" w:lineRule="auto"/>
        <w:ind w:left="641" w:hanging="357"/>
        <w:contextualSpacing w:val="0"/>
        <w:jc w:val="both"/>
        <w:rPr>
          <w:rFonts w:ascii="Garamond" w:eastAsia="Garamond" w:hAnsi="Garamond" w:cs="Garamond"/>
          <w:sz w:val="24"/>
          <w:szCs w:val="24"/>
          <w:lang w:val="en-GB"/>
        </w:rPr>
      </w:pPr>
      <w:r w:rsidRPr="00054F7B">
        <w:rPr>
          <w:rFonts w:ascii="Garamond" w:eastAsia="Garamond" w:hAnsi="Garamond" w:cs="Garamond"/>
          <w:sz w:val="24"/>
          <w:szCs w:val="24"/>
          <w:lang w:val="en-GB"/>
        </w:rPr>
        <w:t xml:space="preserve">The Fourth Amendment </w:t>
      </w:r>
      <w:r w:rsidR="00B86306" w:rsidRPr="00054F7B">
        <w:rPr>
          <w:rFonts w:ascii="Garamond" w:eastAsia="Garamond" w:hAnsi="Garamond" w:cs="Garamond"/>
          <w:sz w:val="24"/>
          <w:szCs w:val="24"/>
          <w:lang w:val="en-GB"/>
        </w:rPr>
        <w:t xml:space="preserve">to the Fundamental Law </w:t>
      </w:r>
      <w:r w:rsidRPr="00054F7B">
        <w:rPr>
          <w:rFonts w:ascii="Garamond" w:eastAsia="Garamond" w:hAnsi="Garamond" w:cs="Garamond"/>
          <w:b/>
          <w:sz w:val="24"/>
          <w:szCs w:val="24"/>
          <w:lang w:val="en-GB"/>
        </w:rPr>
        <w:t>declared void the CC decisions adopted prior to the Fundamental Law</w:t>
      </w:r>
      <w:r w:rsidRPr="00054F7B">
        <w:rPr>
          <w:rFonts w:ascii="Garamond" w:eastAsia="Garamond" w:hAnsi="Garamond" w:cs="Garamond"/>
          <w:sz w:val="24"/>
          <w:szCs w:val="24"/>
          <w:lang w:val="en-GB"/>
        </w:rPr>
        <w:t xml:space="preserve">. This purely arbitrary restriction undermines the CC’s independence, </w:t>
      </w:r>
      <w:r w:rsidR="00054F7B" w:rsidRPr="00054F7B">
        <w:rPr>
          <w:rFonts w:ascii="Garamond" w:eastAsia="Garamond" w:hAnsi="Garamond" w:cs="Garamond"/>
          <w:sz w:val="24"/>
          <w:szCs w:val="24"/>
          <w:lang w:val="en-GB"/>
        </w:rPr>
        <w:t xml:space="preserve">contradicts the CC’s former case law, and, as put by the Venice Commission, “unnecessarily interrupts the continuity of the Court’s case-law”. Accordingly, it </w:t>
      </w:r>
      <w:r w:rsidRPr="00054F7B">
        <w:rPr>
          <w:rFonts w:ascii="Garamond" w:eastAsia="Garamond" w:hAnsi="Garamond" w:cs="Garamond"/>
          <w:sz w:val="24"/>
          <w:szCs w:val="24"/>
          <w:lang w:val="en-GB"/>
        </w:rPr>
        <w:t xml:space="preserve">may </w:t>
      </w:r>
      <w:r w:rsidR="00054F7B" w:rsidRPr="00054F7B">
        <w:rPr>
          <w:rFonts w:ascii="Garamond" w:eastAsia="Garamond" w:hAnsi="Garamond" w:cs="Garamond"/>
          <w:sz w:val="24"/>
          <w:szCs w:val="24"/>
          <w:lang w:val="en-GB"/>
        </w:rPr>
        <w:t xml:space="preserve">also </w:t>
      </w:r>
      <w:r w:rsidRPr="00054F7B">
        <w:rPr>
          <w:rFonts w:ascii="Garamond" w:eastAsia="Garamond" w:hAnsi="Garamond" w:cs="Garamond"/>
          <w:sz w:val="24"/>
          <w:szCs w:val="24"/>
          <w:lang w:val="en-GB"/>
        </w:rPr>
        <w:t xml:space="preserve">result in decreasing the level of the protection of fundamental rights (giving CC judges the possibility to </w:t>
      </w:r>
      <w:r w:rsidR="00EC1900" w:rsidRPr="00054F7B">
        <w:rPr>
          <w:rFonts w:ascii="Garamond" w:eastAsia="Garamond" w:hAnsi="Garamond" w:cs="Garamond"/>
          <w:sz w:val="24"/>
          <w:szCs w:val="24"/>
          <w:lang w:val="en-GB"/>
        </w:rPr>
        <w:t xml:space="preserve">deter from </w:t>
      </w:r>
      <w:r w:rsidRPr="00054F7B">
        <w:rPr>
          <w:rFonts w:ascii="Garamond" w:eastAsia="Garamond" w:hAnsi="Garamond" w:cs="Garamond"/>
          <w:sz w:val="24"/>
          <w:szCs w:val="24"/>
          <w:lang w:val="en-GB"/>
        </w:rPr>
        <w:t>important principles established by the CC over the last two decades</w:t>
      </w:r>
      <w:r w:rsidR="00B86306" w:rsidRPr="00054F7B">
        <w:rPr>
          <w:rFonts w:ascii="Garamond" w:eastAsia="Garamond" w:hAnsi="Garamond" w:cs="Garamond"/>
          <w:sz w:val="24"/>
          <w:szCs w:val="24"/>
          <w:lang w:val="en-GB"/>
        </w:rPr>
        <w:t xml:space="preserve"> without any explanation</w:t>
      </w:r>
      <w:r w:rsidR="00054F7B">
        <w:rPr>
          <w:rFonts w:ascii="Garamond" w:eastAsia="Garamond" w:hAnsi="Garamond" w:cs="Garamond"/>
          <w:sz w:val="24"/>
          <w:szCs w:val="24"/>
          <w:lang w:val="en-GB"/>
        </w:rPr>
        <w:t>)</w:t>
      </w:r>
      <w:r w:rsidRPr="00054F7B">
        <w:rPr>
          <w:rFonts w:ascii="Garamond" w:eastAsia="Garamond" w:hAnsi="Garamond" w:cs="Garamond"/>
          <w:sz w:val="24"/>
          <w:szCs w:val="24"/>
          <w:lang w:val="en-GB"/>
        </w:rPr>
        <w:t>.</w:t>
      </w:r>
      <w:r w:rsidR="00933E7F" w:rsidRPr="00054F7B">
        <w:rPr>
          <w:rFonts w:ascii="Garamond" w:eastAsia="Garamond" w:hAnsi="Garamond" w:cs="Garamond"/>
          <w:sz w:val="24"/>
          <w:szCs w:val="24"/>
          <w:lang w:val="en-GB"/>
        </w:rPr>
        <w:t xml:space="preserve"> </w:t>
      </w:r>
    </w:p>
    <w:p w:rsidR="00755034" w:rsidRPr="009851A8" w:rsidRDefault="00755034" w:rsidP="00054F7B">
      <w:pPr>
        <w:pStyle w:val="Listaszerbekezds"/>
        <w:numPr>
          <w:ilvl w:val="0"/>
          <w:numId w:val="28"/>
        </w:numPr>
        <w:autoSpaceDE w:val="0"/>
        <w:autoSpaceDN w:val="0"/>
        <w:adjustRightInd w:val="0"/>
        <w:spacing w:before="120" w:after="120" w:line="240" w:lineRule="auto"/>
        <w:contextualSpacing w:val="0"/>
        <w:jc w:val="both"/>
        <w:rPr>
          <w:rFonts w:ascii="Garamond" w:hAnsi="Garamond"/>
          <w:sz w:val="24"/>
          <w:szCs w:val="24"/>
          <w:lang w:val="en-GB"/>
        </w:rPr>
      </w:pPr>
      <w:r w:rsidRPr="00054F7B">
        <w:rPr>
          <w:rFonts w:ascii="Garamond" w:eastAsia="Garamond" w:hAnsi="Garamond" w:cs="Garamond"/>
          <w:sz w:val="24"/>
          <w:szCs w:val="24"/>
          <w:lang w:val="en-GB"/>
        </w:rPr>
        <w:t xml:space="preserve">As a result of </w:t>
      </w:r>
      <w:r w:rsidRPr="00054F7B">
        <w:rPr>
          <w:rFonts w:ascii="Garamond" w:hAnsi="Garamond"/>
          <w:sz w:val="24"/>
          <w:szCs w:val="24"/>
          <w:lang w:val="en-GB"/>
        </w:rPr>
        <w:t>amending</w:t>
      </w:r>
      <w:r w:rsidR="00AE63D0" w:rsidRPr="00054F7B">
        <w:rPr>
          <w:rFonts w:ascii="Garamond" w:hAnsi="Garamond"/>
          <w:sz w:val="24"/>
          <w:szCs w:val="24"/>
          <w:lang w:val="en-GB"/>
        </w:rPr>
        <w:t xml:space="preserve"> the rules pertaining to the composition </w:t>
      </w:r>
      <w:r w:rsidR="00AE63D0" w:rsidRPr="00054F7B">
        <w:rPr>
          <w:rFonts w:ascii="Garamond" w:hAnsi="Garamond" w:cs="TTE1BFD5A0t00"/>
          <w:sz w:val="24"/>
          <w:szCs w:val="24"/>
          <w:lang w:val="en-GB" w:eastAsia="hu-HU"/>
        </w:rPr>
        <w:t>of th</w:t>
      </w:r>
      <w:r w:rsidR="0081081E">
        <w:rPr>
          <w:rFonts w:ascii="Garamond" w:hAnsi="Garamond" w:cs="TTE1BFD5A0t00"/>
          <w:sz w:val="24"/>
          <w:szCs w:val="24"/>
          <w:lang w:val="en-GB" w:eastAsia="hu-HU"/>
        </w:rPr>
        <w:t>e parliamentary committee nominat</w:t>
      </w:r>
      <w:r w:rsidR="00AE63D0" w:rsidRPr="00054F7B">
        <w:rPr>
          <w:rFonts w:ascii="Garamond" w:hAnsi="Garamond" w:cs="TTE1BFD5A0t00"/>
          <w:sz w:val="24"/>
          <w:szCs w:val="24"/>
          <w:lang w:val="en-GB" w:eastAsia="hu-HU"/>
        </w:rPr>
        <w:t xml:space="preserve">ing </w:t>
      </w:r>
      <w:r w:rsidR="0081081E">
        <w:rPr>
          <w:rFonts w:ascii="Garamond" w:hAnsi="Garamond" w:cs="TTE1BFD5A0t00"/>
          <w:sz w:val="24"/>
          <w:szCs w:val="24"/>
          <w:lang w:val="en-GB" w:eastAsia="hu-HU"/>
        </w:rPr>
        <w:t xml:space="preserve">CC </w:t>
      </w:r>
      <w:r w:rsidR="00AE63D0" w:rsidRPr="00054F7B">
        <w:rPr>
          <w:rFonts w:ascii="Garamond" w:hAnsi="Garamond" w:cs="TTE1BFD5A0t00"/>
          <w:sz w:val="24"/>
          <w:szCs w:val="24"/>
          <w:lang w:val="en-GB" w:eastAsia="hu-HU"/>
        </w:rPr>
        <w:t xml:space="preserve">judges, </w:t>
      </w:r>
      <w:r w:rsidR="00A037AE" w:rsidRPr="00054F7B">
        <w:rPr>
          <w:rFonts w:ascii="Garamond" w:hAnsi="Garamond"/>
          <w:sz w:val="24"/>
          <w:szCs w:val="24"/>
          <w:lang w:val="en-GB"/>
        </w:rPr>
        <w:t xml:space="preserve">the </w:t>
      </w:r>
      <w:r w:rsidR="00A037AE" w:rsidRPr="00054F7B">
        <w:rPr>
          <w:rFonts w:ascii="Garamond" w:hAnsi="Garamond" w:cs="TTE1BFD5A0t00"/>
          <w:b/>
          <w:sz w:val="24"/>
          <w:szCs w:val="24"/>
          <w:lang w:val="en-GB" w:eastAsia="hu-HU"/>
        </w:rPr>
        <w:t>parliamentary maj</w:t>
      </w:r>
      <w:r w:rsidR="00AE63D0" w:rsidRPr="00054F7B">
        <w:rPr>
          <w:rFonts w:ascii="Garamond" w:hAnsi="Garamond" w:cs="TTE1BFD5A0t00"/>
          <w:b/>
          <w:sz w:val="24"/>
          <w:szCs w:val="24"/>
          <w:lang w:val="en-GB" w:eastAsia="hu-HU"/>
        </w:rPr>
        <w:t xml:space="preserve">ority may nominate and elect </w:t>
      </w:r>
      <w:r w:rsidR="00A037AE" w:rsidRPr="00054F7B">
        <w:rPr>
          <w:rFonts w:ascii="Garamond" w:hAnsi="Garamond" w:cs="TTE1BFD5A0t00"/>
          <w:b/>
          <w:sz w:val="24"/>
          <w:szCs w:val="24"/>
          <w:lang w:val="en-GB" w:eastAsia="hu-HU"/>
        </w:rPr>
        <w:t>judges</w:t>
      </w:r>
      <w:r w:rsidR="00A037AE" w:rsidRPr="00054F7B">
        <w:rPr>
          <w:rFonts w:ascii="Garamond" w:hAnsi="Garamond" w:cs="TTE1BFD5A0t00"/>
          <w:sz w:val="24"/>
          <w:szCs w:val="24"/>
          <w:lang w:val="en-GB" w:eastAsia="hu-HU"/>
        </w:rPr>
        <w:t xml:space="preserve"> </w:t>
      </w:r>
      <w:r w:rsidR="00AE63D0" w:rsidRPr="00054F7B">
        <w:rPr>
          <w:rFonts w:ascii="Garamond" w:hAnsi="Garamond" w:cs="TTE1BFD5A0t00"/>
          <w:b/>
          <w:sz w:val="24"/>
          <w:szCs w:val="24"/>
          <w:lang w:val="en-GB" w:eastAsia="hu-HU"/>
        </w:rPr>
        <w:t xml:space="preserve">of the Constitutional Court </w:t>
      </w:r>
      <w:r w:rsidR="00A037AE" w:rsidRPr="00054F7B">
        <w:rPr>
          <w:rFonts w:ascii="Garamond" w:hAnsi="Garamond" w:cs="TTE1BFD5A0t00"/>
          <w:sz w:val="24"/>
          <w:szCs w:val="24"/>
          <w:lang w:val="en-GB" w:eastAsia="hu-HU"/>
        </w:rPr>
        <w:t>on its own,</w:t>
      </w:r>
      <w:r w:rsidR="00AE63D0" w:rsidRPr="00054F7B">
        <w:rPr>
          <w:rFonts w:ascii="Garamond" w:hAnsi="Garamond" w:cs="TTE1BFD5A0t00"/>
          <w:sz w:val="24"/>
          <w:szCs w:val="24"/>
          <w:lang w:val="en-GB" w:eastAsia="hu-HU"/>
        </w:rPr>
        <w:t xml:space="preserve"> </w:t>
      </w:r>
      <w:r w:rsidR="00AE63D0" w:rsidRPr="00054F7B">
        <w:rPr>
          <w:rFonts w:ascii="Garamond" w:hAnsi="Garamond" w:cs="TTE1BFD5A0t00"/>
          <w:b/>
          <w:sz w:val="24"/>
          <w:szCs w:val="24"/>
          <w:lang w:val="en-GB" w:eastAsia="hu-HU"/>
        </w:rPr>
        <w:t>without the support of any opposition party</w:t>
      </w:r>
      <w:r w:rsidR="00AE63D0" w:rsidRPr="00054F7B">
        <w:rPr>
          <w:rFonts w:ascii="Garamond" w:hAnsi="Garamond" w:cs="TTE1BFD5A0t00"/>
          <w:sz w:val="24"/>
          <w:szCs w:val="24"/>
          <w:lang w:val="en-GB" w:eastAsia="hu-HU"/>
        </w:rPr>
        <w:t>.</w:t>
      </w:r>
      <w:r w:rsidR="006C636C" w:rsidRPr="00054F7B">
        <w:rPr>
          <w:rFonts w:ascii="Garamond" w:hAnsi="Garamond" w:cs="TTE1BFD5A0t00"/>
          <w:sz w:val="24"/>
          <w:szCs w:val="24"/>
          <w:lang w:val="en-GB" w:eastAsia="hu-HU"/>
        </w:rPr>
        <w:t xml:space="preserve"> Furthermore</w:t>
      </w:r>
      <w:r w:rsidR="00AE63D0" w:rsidRPr="00054F7B">
        <w:rPr>
          <w:rFonts w:ascii="Garamond" w:hAnsi="Garamond" w:cs="TTE1BFD5A0t00"/>
          <w:sz w:val="24"/>
          <w:szCs w:val="24"/>
          <w:lang w:val="en-GB" w:eastAsia="hu-HU"/>
        </w:rPr>
        <w:t>,</w:t>
      </w:r>
      <w:r w:rsidR="00AE63D0" w:rsidRPr="00054F7B">
        <w:rPr>
          <w:rFonts w:ascii="Garamond" w:hAnsi="Garamond" w:cs="TTE1BFD5A0t00"/>
          <w:b/>
          <w:sz w:val="24"/>
          <w:szCs w:val="24"/>
          <w:lang w:val="en-GB" w:eastAsia="hu-HU"/>
        </w:rPr>
        <w:t xml:space="preserve"> </w:t>
      </w:r>
      <w:r w:rsidR="00A037AE" w:rsidRPr="00054F7B">
        <w:rPr>
          <w:rFonts w:ascii="Garamond" w:hAnsi="Garamond"/>
          <w:sz w:val="24"/>
          <w:szCs w:val="24"/>
          <w:lang w:val="en-GB"/>
        </w:rPr>
        <w:t xml:space="preserve">the number of </w:t>
      </w:r>
      <w:r w:rsidRPr="00054F7B">
        <w:rPr>
          <w:rFonts w:ascii="Garamond" w:hAnsi="Garamond"/>
          <w:sz w:val="24"/>
          <w:szCs w:val="24"/>
          <w:lang w:val="en-GB"/>
        </w:rPr>
        <w:t xml:space="preserve">CC members has </w:t>
      </w:r>
      <w:r w:rsidR="00A037AE" w:rsidRPr="00054F7B">
        <w:rPr>
          <w:rFonts w:ascii="Garamond" w:hAnsi="Garamond"/>
          <w:sz w:val="24"/>
          <w:szCs w:val="24"/>
          <w:lang w:val="en-GB"/>
        </w:rPr>
        <w:t>been increased</w:t>
      </w:r>
      <w:r w:rsidR="00876920" w:rsidRPr="00054F7B">
        <w:rPr>
          <w:rFonts w:ascii="Garamond" w:hAnsi="Garamond"/>
          <w:sz w:val="24"/>
          <w:szCs w:val="24"/>
          <w:lang w:val="en-GB"/>
        </w:rPr>
        <w:t xml:space="preserve"> from 11 to 15</w:t>
      </w:r>
      <w:r w:rsidR="006C636C" w:rsidRPr="00054F7B">
        <w:rPr>
          <w:rFonts w:ascii="Garamond" w:hAnsi="Garamond"/>
          <w:sz w:val="24"/>
          <w:szCs w:val="24"/>
          <w:lang w:val="en-GB"/>
        </w:rPr>
        <w:t>. The</w:t>
      </w:r>
      <w:r w:rsidR="0081081E">
        <w:rPr>
          <w:rFonts w:ascii="Garamond" w:hAnsi="Garamond"/>
          <w:sz w:val="24"/>
          <w:szCs w:val="24"/>
          <w:lang w:val="en-GB"/>
        </w:rPr>
        <w:t>se</w:t>
      </w:r>
      <w:r w:rsidR="006C636C" w:rsidRPr="00054F7B">
        <w:rPr>
          <w:rFonts w:ascii="Garamond" w:hAnsi="Garamond"/>
          <w:sz w:val="24"/>
          <w:szCs w:val="24"/>
          <w:lang w:val="en-GB"/>
        </w:rPr>
        <w:t xml:space="preserve"> amendments lead</w:t>
      </w:r>
      <w:r w:rsidR="00A037AE" w:rsidRPr="00054F7B">
        <w:rPr>
          <w:rFonts w:ascii="Garamond" w:hAnsi="Garamond"/>
          <w:sz w:val="24"/>
          <w:szCs w:val="24"/>
          <w:lang w:val="en-GB"/>
        </w:rPr>
        <w:t xml:space="preserve"> to a</w:t>
      </w:r>
      <w:r w:rsidR="00A037AE" w:rsidRPr="009851A8">
        <w:rPr>
          <w:rFonts w:ascii="Garamond" w:hAnsi="Garamond"/>
          <w:sz w:val="24"/>
          <w:szCs w:val="24"/>
          <w:lang w:val="en-GB"/>
        </w:rPr>
        <w:t xml:space="preserve"> situation </w:t>
      </w:r>
      <w:r w:rsidR="0081081E">
        <w:rPr>
          <w:rFonts w:ascii="Garamond" w:hAnsi="Garamond"/>
          <w:sz w:val="24"/>
          <w:szCs w:val="24"/>
          <w:lang w:val="en-GB"/>
        </w:rPr>
        <w:t>in which</w:t>
      </w:r>
      <w:r w:rsidR="006C636C" w:rsidRPr="009851A8">
        <w:rPr>
          <w:rFonts w:ascii="Garamond" w:hAnsi="Garamond"/>
          <w:sz w:val="24"/>
          <w:szCs w:val="24"/>
          <w:lang w:val="en-GB"/>
        </w:rPr>
        <w:t xml:space="preserve"> the </w:t>
      </w:r>
      <w:r w:rsidR="006C636C" w:rsidRPr="009851A8">
        <w:rPr>
          <w:rFonts w:ascii="Garamond" w:hAnsi="Garamond"/>
          <w:b/>
          <w:sz w:val="24"/>
          <w:szCs w:val="24"/>
          <w:lang w:val="en-GB"/>
        </w:rPr>
        <w:t>majority of current CC judges</w:t>
      </w:r>
      <w:r w:rsidR="006C636C" w:rsidRPr="009851A8">
        <w:rPr>
          <w:rFonts w:ascii="Garamond" w:hAnsi="Garamond"/>
          <w:sz w:val="24"/>
          <w:szCs w:val="24"/>
          <w:lang w:val="en-GB"/>
        </w:rPr>
        <w:t xml:space="preserve"> (8 out of </w:t>
      </w:r>
      <w:r w:rsidR="00A037AE" w:rsidRPr="009851A8">
        <w:rPr>
          <w:rFonts w:ascii="Garamond" w:hAnsi="Garamond"/>
          <w:sz w:val="24"/>
          <w:szCs w:val="24"/>
          <w:lang w:val="en-GB"/>
        </w:rPr>
        <w:t>15)</w:t>
      </w:r>
      <w:r w:rsidR="0081081E">
        <w:rPr>
          <w:rFonts w:ascii="Garamond" w:hAnsi="Garamond"/>
          <w:sz w:val="24"/>
          <w:szCs w:val="24"/>
          <w:lang w:val="en-GB"/>
        </w:rPr>
        <w:t xml:space="preserve"> were</w:t>
      </w:r>
      <w:r w:rsidR="00A037AE" w:rsidRPr="009851A8">
        <w:rPr>
          <w:rFonts w:ascii="Garamond" w:hAnsi="Garamond"/>
          <w:b/>
          <w:sz w:val="24"/>
          <w:szCs w:val="24"/>
          <w:lang w:val="en-GB"/>
        </w:rPr>
        <w:t xml:space="preserve"> nominated and elected</w:t>
      </w:r>
      <w:r w:rsidR="00A037AE" w:rsidRPr="009851A8">
        <w:rPr>
          <w:rFonts w:ascii="Garamond" w:hAnsi="Garamond"/>
          <w:sz w:val="24"/>
          <w:szCs w:val="24"/>
          <w:lang w:val="en-GB"/>
        </w:rPr>
        <w:t xml:space="preserve"> </w:t>
      </w:r>
      <w:r w:rsidR="00876920" w:rsidRPr="0081081E">
        <w:rPr>
          <w:rFonts w:ascii="Garamond" w:hAnsi="Garamond"/>
          <w:b/>
          <w:sz w:val="24"/>
          <w:szCs w:val="24"/>
          <w:lang w:val="en-GB"/>
        </w:rPr>
        <w:t>solely by the governing majority</w:t>
      </w:r>
      <w:r w:rsidR="00876920" w:rsidRPr="009851A8">
        <w:rPr>
          <w:rFonts w:ascii="Garamond" w:hAnsi="Garamond"/>
          <w:sz w:val="24"/>
          <w:szCs w:val="24"/>
          <w:lang w:val="en-GB"/>
        </w:rPr>
        <w:t>.</w:t>
      </w:r>
      <w:r w:rsidR="006C636C" w:rsidRPr="009851A8">
        <w:rPr>
          <w:rFonts w:ascii="Garamond" w:hAnsi="Garamond"/>
          <w:sz w:val="24"/>
          <w:szCs w:val="24"/>
          <w:lang w:val="en-GB"/>
        </w:rPr>
        <w:t xml:space="preserve"> (Since the mandate of some of the judges – elected before the change in the rules – will expire soon, the election of three further judges is underway.)</w:t>
      </w:r>
    </w:p>
    <w:p w:rsidR="00601B29" w:rsidRPr="00BB1E0B" w:rsidRDefault="00FA2DD8" w:rsidP="007B7638">
      <w:pPr>
        <w:pStyle w:val="Listaszerbekezds"/>
        <w:numPr>
          <w:ilvl w:val="0"/>
          <w:numId w:val="28"/>
        </w:numPr>
        <w:autoSpaceDE w:val="0"/>
        <w:autoSpaceDN w:val="0"/>
        <w:adjustRightInd w:val="0"/>
        <w:spacing w:before="120" w:after="240" w:line="240" w:lineRule="auto"/>
        <w:ind w:left="641" w:hanging="357"/>
        <w:contextualSpacing w:val="0"/>
        <w:jc w:val="both"/>
        <w:rPr>
          <w:rFonts w:ascii="Garamond" w:hAnsi="Garamond"/>
          <w:sz w:val="24"/>
          <w:szCs w:val="24"/>
          <w:lang w:val="en-GB"/>
        </w:rPr>
      </w:pPr>
      <w:r w:rsidRPr="009851A8">
        <w:rPr>
          <w:rFonts w:ascii="Garamond" w:hAnsi="Garamond" w:cs="MyriadPro-Regular"/>
          <w:sz w:val="24"/>
          <w:szCs w:val="24"/>
          <w:lang w:val="en-GB" w:eastAsia="hu-HU"/>
        </w:rPr>
        <w:t>A law adopted</w:t>
      </w:r>
      <w:r w:rsidR="00590B6A" w:rsidRPr="009851A8">
        <w:rPr>
          <w:rFonts w:ascii="Garamond" w:hAnsi="Garamond" w:cs="MyriadPro-Regular"/>
          <w:sz w:val="24"/>
          <w:szCs w:val="24"/>
          <w:lang w:val="en-GB" w:eastAsia="hu-HU"/>
        </w:rPr>
        <w:t xml:space="preserve"> </w:t>
      </w:r>
      <w:r w:rsidR="00F93E17" w:rsidRPr="009851A8">
        <w:rPr>
          <w:rFonts w:ascii="Garamond" w:hAnsi="Garamond" w:cs="MyriadPro-Regular"/>
          <w:sz w:val="24"/>
          <w:szCs w:val="24"/>
          <w:lang w:val="en-GB" w:eastAsia="hu-HU"/>
        </w:rPr>
        <w:t xml:space="preserve">in December 2013 </w:t>
      </w:r>
      <w:r w:rsidR="00590B6A" w:rsidRPr="009851A8">
        <w:rPr>
          <w:rFonts w:ascii="Garamond" w:hAnsi="Garamond" w:cs="MyriadPro-Regular"/>
          <w:sz w:val="24"/>
          <w:szCs w:val="24"/>
          <w:lang w:val="en-GB" w:eastAsia="hu-HU"/>
        </w:rPr>
        <w:t xml:space="preserve">set out that the mandate of </w:t>
      </w:r>
      <w:r w:rsidRPr="009851A8">
        <w:rPr>
          <w:rFonts w:ascii="Garamond" w:hAnsi="Garamond" w:cs="MyriadPro-Regular"/>
          <w:sz w:val="24"/>
          <w:szCs w:val="24"/>
          <w:lang w:val="en-GB" w:eastAsia="hu-HU"/>
        </w:rPr>
        <w:t xml:space="preserve">CC </w:t>
      </w:r>
      <w:r w:rsidR="00590B6A" w:rsidRPr="009851A8">
        <w:rPr>
          <w:rFonts w:ascii="Garamond" w:hAnsi="Garamond" w:cs="MyriadPro-Regular"/>
          <w:sz w:val="24"/>
          <w:szCs w:val="24"/>
          <w:lang w:val="en-GB" w:eastAsia="hu-HU"/>
        </w:rPr>
        <w:t xml:space="preserve">judges, including the mandate of the current ones, shall not terminate when they turn 70 years old, but they shall remain in their seats until the end of their 12-year term. As a result, </w:t>
      </w:r>
      <w:r w:rsidR="00590B6A" w:rsidRPr="009851A8">
        <w:rPr>
          <w:rFonts w:ascii="Garamond" w:hAnsi="Garamond" w:cs="MyriadPro-Regular"/>
          <w:b/>
          <w:sz w:val="24"/>
          <w:szCs w:val="24"/>
          <w:lang w:val="en-GB" w:eastAsia="hu-HU"/>
        </w:rPr>
        <w:t xml:space="preserve">the length of the mandate of some of the </w:t>
      </w:r>
      <w:r w:rsidR="00C304B0" w:rsidRPr="009851A8">
        <w:rPr>
          <w:rFonts w:ascii="Garamond" w:hAnsi="Garamond" w:cs="MyriadPro-Regular"/>
          <w:b/>
          <w:sz w:val="24"/>
          <w:szCs w:val="24"/>
          <w:lang w:val="en-GB" w:eastAsia="hu-HU"/>
        </w:rPr>
        <w:t xml:space="preserve">CC </w:t>
      </w:r>
      <w:r w:rsidR="00590B6A" w:rsidRPr="009851A8">
        <w:rPr>
          <w:rFonts w:ascii="Garamond" w:hAnsi="Garamond" w:cs="MyriadPro-Regular"/>
          <w:b/>
          <w:sz w:val="24"/>
          <w:szCs w:val="24"/>
          <w:lang w:val="en-GB" w:eastAsia="hu-HU"/>
        </w:rPr>
        <w:t>judges nominated and elected with the sole support of the current governing majority got extended considerably</w:t>
      </w:r>
      <w:r w:rsidR="00590B6A" w:rsidRPr="009851A8">
        <w:rPr>
          <w:rFonts w:ascii="Garamond" w:hAnsi="Garamond" w:cs="MyriadPro-Regular"/>
          <w:sz w:val="24"/>
          <w:szCs w:val="24"/>
          <w:lang w:val="en-GB" w:eastAsia="hu-HU"/>
        </w:rPr>
        <w:t>.</w:t>
      </w:r>
      <w:r w:rsidR="00590B6A" w:rsidRPr="009851A8">
        <w:rPr>
          <w:rStyle w:val="Lbjegyzet-hivatkozs"/>
          <w:rFonts w:ascii="Garamond" w:hAnsi="Garamond" w:cs="MyriadPro-Regular"/>
          <w:sz w:val="24"/>
          <w:szCs w:val="24"/>
          <w:lang w:val="en-GB" w:eastAsia="hu-HU"/>
        </w:rPr>
        <w:footnoteReference w:id="5"/>
      </w:r>
    </w:p>
    <w:p w:rsidR="00BB1E0B" w:rsidRDefault="00BB1E0B">
      <w:pPr>
        <w:spacing w:after="0" w:line="240" w:lineRule="auto"/>
        <w:rPr>
          <w:rFonts w:ascii="Garamond" w:hAnsi="Garamond" w:cs="MyriadPro-Regular"/>
          <w:sz w:val="24"/>
          <w:szCs w:val="24"/>
          <w:lang w:val="en-GB" w:eastAsia="hu-HU"/>
        </w:rPr>
      </w:pPr>
      <w:r>
        <w:rPr>
          <w:rFonts w:ascii="Garamond" w:hAnsi="Garamond" w:cs="MyriadPro-Regular"/>
          <w:sz w:val="24"/>
          <w:szCs w:val="24"/>
          <w:lang w:val="en-GB" w:eastAsia="hu-HU"/>
        </w:rPr>
        <w:br w:type="page"/>
      </w:r>
    </w:p>
    <w:p w:rsidR="00BB1E0B" w:rsidRPr="009851A8" w:rsidRDefault="006F0770" w:rsidP="00BB1E0B">
      <w:pPr>
        <w:spacing w:before="120" w:after="120" w:line="240" w:lineRule="auto"/>
        <w:jc w:val="center"/>
        <w:rPr>
          <w:rFonts w:ascii="Garamond" w:hAnsi="Garamond" w:cs="Arial"/>
          <w:smallCaps/>
          <w:sz w:val="24"/>
          <w:szCs w:val="24"/>
          <w:lang w:val="en-GB"/>
        </w:rPr>
      </w:pPr>
      <w:r>
        <w:rPr>
          <w:rFonts w:ascii="Garamond" w:hAnsi="Garamond" w:cs="Arial"/>
          <w:smallCaps/>
          <w:sz w:val="24"/>
          <w:szCs w:val="24"/>
          <w:lang w:val="en-GB"/>
        </w:rPr>
        <w:lastRenderedPageBreak/>
        <w:t>Hungary Fact Sheet 2</w:t>
      </w:r>
    </w:p>
    <w:p w:rsidR="00BB1E0B" w:rsidRPr="009851A8" w:rsidRDefault="00BB1E0B" w:rsidP="00BB1E0B">
      <w:pPr>
        <w:spacing w:before="120" w:after="120" w:line="240" w:lineRule="auto"/>
        <w:jc w:val="center"/>
        <w:rPr>
          <w:rFonts w:ascii="Garamond" w:hAnsi="Garamond" w:cs="Arial"/>
          <w:smallCaps/>
          <w:sz w:val="24"/>
          <w:szCs w:val="24"/>
          <w:lang w:val="en-GB"/>
        </w:rPr>
      </w:pPr>
      <w:r w:rsidRPr="009851A8">
        <w:rPr>
          <w:rFonts w:ascii="Garamond" w:hAnsi="Garamond" w:cs="Arial"/>
          <w:smallCaps/>
          <w:sz w:val="24"/>
          <w:szCs w:val="24"/>
          <w:lang w:val="en-GB"/>
        </w:rPr>
        <w:t>September 2014</w:t>
      </w:r>
    </w:p>
    <w:p w:rsidR="00BB1E0B" w:rsidRDefault="00BB1E0B" w:rsidP="0081081E">
      <w:pPr>
        <w:autoSpaceDE w:val="0"/>
        <w:autoSpaceDN w:val="0"/>
        <w:adjustRightInd w:val="0"/>
        <w:spacing w:after="0" w:line="240" w:lineRule="auto"/>
        <w:jc w:val="center"/>
        <w:rPr>
          <w:rFonts w:ascii="Garamond" w:hAnsi="Garamond" w:cs="Garamond"/>
          <w:b/>
          <w:smallCaps/>
          <w:sz w:val="28"/>
          <w:szCs w:val="28"/>
          <w:lang w:val="en-GB"/>
        </w:rPr>
      </w:pPr>
      <w:r w:rsidRPr="00BB1E0B">
        <w:rPr>
          <w:rFonts w:ascii="Garamond" w:hAnsi="Garamond" w:cs="Garamond"/>
          <w:b/>
          <w:smallCaps/>
          <w:sz w:val="28"/>
          <w:szCs w:val="28"/>
          <w:lang w:val="en-GB"/>
        </w:rPr>
        <w:t xml:space="preserve">disrupting the system of checks and balances; </w:t>
      </w:r>
      <w:r w:rsidR="0081081E">
        <w:rPr>
          <w:rFonts w:ascii="Garamond" w:hAnsi="Garamond" w:cs="Garamond"/>
          <w:b/>
          <w:smallCaps/>
          <w:sz w:val="28"/>
          <w:szCs w:val="28"/>
          <w:lang w:val="en-GB"/>
        </w:rPr>
        <w:br/>
      </w:r>
      <w:r w:rsidRPr="00BB1E0B">
        <w:rPr>
          <w:rFonts w:ascii="Garamond" w:hAnsi="Garamond" w:cs="Garamond"/>
          <w:b/>
          <w:smallCaps/>
          <w:sz w:val="28"/>
          <w:szCs w:val="28"/>
          <w:lang w:val="en-GB"/>
        </w:rPr>
        <w:t>weakening independent institutions</w:t>
      </w:r>
    </w:p>
    <w:p w:rsidR="0081081E" w:rsidRPr="0081081E" w:rsidRDefault="0081081E" w:rsidP="0081081E">
      <w:pPr>
        <w:autoSpaceDE w:val="0"/>
        <w:autoSpaceDN w:val="0"/>
        <w:adjustRightInd w:val="0"/>
        <w:spacing w:after="0" w:line="240" w:lineRule="auto"/>
        <w:rPr>
          <w:rFonts w:ascii="Garamond" w:hAnsi="Garamond" w:cs="Garamond"/>
          <w:b/>
          <w:smallCaps/>
          <w:sz w:val="20"/>
          <w:szCs w:val="20"/>
          <w:lang w:val="en-GB"/>
        </w:rPr>
      </w:pPr>
    </w:p>
    <w:p w:rsidR="00F93E17" w:rsidRPr="009851A8" w:rsidRDefault="00BB1E0B" w:rsidP="00B86306">
      <w:pPr>
        <w:autoSpaceDE w:val="0"/>
        <w:autoSpaceDN w:val="0"/>
        <w:adjustRightInd w:val="0"/>
        <w:spacing w:before="120" w:after="120" w:line="240" w:lineRule="auto"/>
        <w:jc w:val="both"/>
        <w:rPr>
          <w:rFonts w:ascii="Garamond" w:hAnsi="Garamond"/>
          <w:sz w:val="24"/>
          <w:szCs w:val="24"/>
          <w:lang w:val="en-GB"/>
        </w:rPr>
      </w:pPr>
      <w:r>
        <w:rPr>
          <w:rFonts w:ascii="Garamond" w:hAnsi="Garamond" w:cs="TTE1BFD5A0t00"/>
          <w:sz w:val="24"/>
          <w:szCs w:val="24"/>
          <w:lang w:val="en-GB" w:eastAsia="hu-HU"/>
        </w:rPr>
        <w:t>1</w:t>
      </w:r>
      <w:r w:rsidR="00B86306" w:rsidRPr="009851A8">
        <w:rPr>
          <w:rFonts w:ascii="Garamond" w:hAnsi="Garamond" w:cs="TTE1BFD5A0t00"/>
          <w:sz w:val="24"/>
          <w:szCs w:val="24"/>
          <w:lang w:val="en-GB" w:eastAsia="hu-HU"/>
        </w:rPr>
        <w:t xml:space="preserve">. </w:t>
      </w:r>
      <w:r w:rsidR="005D31E2">
        <w:rPr>
          <w:rFonts w:ascii="Garamond" w:hAnsi="Garamond" w:cs="TTE1BFD5A0t00"/>
          <w:sz w:val="24"/>
          <w:szCs w:val="24"/>
          <w:u w:val="single"/>
          <w:lang w:val="en-GB" w:eastAsia="hu-HU"/>
        </w:rPr>
        <w:t>Threatening</w:t>
      </w:r>
      <w:r w:rsidR="00B86306" w:rsidRPr="009851A8">
        <w:rPr>
          <w:rFonts w:ascii="Garamond" w:hAnsi="Garamond" w:cs="TTE1BFD5A0t00"/>
          <w:sz w:val="24"/>
          <w:szCs w:val="24"/>
          <w:u w:val="single"/>
          <w:lang w:val="en-GB" w:eastAsia="hu-HU"/>
        </w:rPr>
        <w:t xml:space="preserve"> the independence of the j</w:t>
      </w:r>
      <w:r w:rsidR="00F93E17" w:rsidRPr="009851A8">
        <w:rPr>
          <w:rFonts w:ascii="Garamond" w:hAnsi="Garamond" w:cs="TTE1BFD5A0t00"/>
          <w:sz w:val="24"/>
          <w:szCs w:val="24"/>
          <w:u w:val="single"/>
          <w:lang w:val="en-GB" w:eastAsia="hu-HU"/>
        </w:rPr>
        <w:t>udiciary</w:t>
      </w:r>
      <w:r w:rsidR="00EE61D7">
        <w:rPr>
          <w:rStyle w:val="Lbjegyzet-hivatkozs"/>
          <w:rFonts w:ascii="Garamond" w:hAnsi="Garamond" w:cs="TTE1BFD5A0t00"/>
          <w:sz w:val="24"/>
          <w:szCs w:val="24"/>
          <w:u w:val="single"/>
          <w:lang w:val="en-GB" w:eastAsia="hu-HU"/>
        </w:rPr>
        <w:footnoteReference w:id="6"/>
      </w:r>
    </w:p>
    <w:p w:rsidR="00BB4E20" w:rsidRPr="00CF64F3" w:rsidRDefault="00BB4E20" w:rsidP="00BB4E20">
      <w:pPr>
        <w:pStyle w:val="Listaszerbekezds"/>
        <w:numPr>
          <w:ilvl w:val="0"/>
          <w:numId w:val="12"/>
        </w:numPr>
        <w:autoSpaceDE w:val="0"/>
        <w:autoSpaceDN w:val="0"/>
        <w:adjustRightInd w:val="0"/>
        <w:spacing w:after="120" w:line="240" w:lineRule="auto"/>
        <w:contextualSpacing w:val="0"/>
        <w:jc w:val="both"/>
        <w:rPr>
          <w:rFonts w:ascii="Garamond" w:hAnsi="Garamond"/>
          <w:sz w:val="24"/>
          <w:szCs w:val="24"/>
          <w:lang w:val="en-GB"/>
        </w:rPr>
      </w:pPr>
      <w:r w:rsidRPr="00BB4E20">
        <w:rPr>
          <w:rFonts w:ascii="Garamond" w:eastAsia="Times New Roman" w:hAnsi="Garamond"/>
          <w:sz w:val="24"/>
          <w:szCs w:val="24"/>
          <w:lang w:eastAsia="hu-HU"/>
        </w:rPr>
        <w:t>As a result</w:t>
      </w:r>
      <w:r w:rsidR="0081081E">
        <w:rPr>
          <w:rFonts w:ascii="Garamond" w:eastAsia="Times New Roman" w:hAnsi="Garamond"/>
          <w:sz w:val="24"/>
          <w:szCs w:val="24"/>
          <w:lang w:eastAsia="hu-HU"/>
        </w:rPr>
        <w:t xml:space="preserve"> of</w:t>
      </w:r>
      <w:r w:rsidRPr="00BB4E20">
        <w:rPr>
          <w:rFonts w:ascii="Garamond" w:eastAsia="Times New Roman" w:hAnsi="Garamond"/>
          <w:sz w:val="24"/>
          <w:szCs w:val="24"/>
          <w:lang w:eastAsia="hu-HU"/>
        </w:rPr>
        <w:t xml:space="preserve"> a thorough re-regulation in 2011, </w:t>
      </w:r>
      <w:r w:rsidRPr="00BB4E20">
        <w:rPr>
          <w:rFonts w:ascii="Garamond" w:hAnsi="Garamond" w:cs="TTE1BFD5A0t00"/>
          <w:sz w:val="24"/>
          <w:szCs w:val="24"/>
          <w:lang w:val="en-GB" w:eastAsia="hu-HU"/>
        </w:rPr>
        <w:t>t</w:t>
      </w:r>
      <w:r w:rsidR="005C6520" w:rsidRPr="00BB4E20">
        <w:rPr>
          <w:rFonts w:ascii="Garamond" w:hAnsi="Garamond" w:cs="TTE1BFD5A0t00"/>
          <w:sz w:val="24"/>
          <w:szCs w:val="24"/>
          <w:lang w:val="en-GB" w:eastAsia="hu-HU"/>
        </w:rPr>
        <w:t xml:space="preserve">he </w:t>
      </w:r>
      <w:r w:rsidR="005C6520" w:rsidRPr="00354FBF">
        <w:rPr>
          <w:rFonts w:ascii="Garamond" w:hAnsi="Garamond" w:cs="TTE1BFD5A0t00"/>
          <w:b/>
          <w:sz w:val="24"/>
          <w:szCs w:val="24"/>
          <w:lang w:val="en-GB" w:eastAsia="hu-HU"/>
        </w:rPr>
        <w:t xml:space="preserve">administration of courts </w:t>
      </w:r>
      <w:r w:rsidR="00354FBF">
        <w:rPr>
          <w:rFonts w:ascii="Garamond" w:hAnsi="Garamond" w:cs="Arial"/>
          <w:b/>
          <w:sz w:val="24"/>
          <w:szCs w:val="24"/>
          <w:lang w:val="en-GB"/>
        </w:rPr>
        <w:t xml:space="preserve">became </w:t>
      </w:r>
      <w:r w:rsidRPr="00354FBF">
        <w:rPr>
          <w:rFonts w:ascii="Garamond" w:hAnsi="Garamond" w:cs="Arial"/>
          <w:b/>
          <w:sz w:val="24"/>
          <w:szCs w:val="24"/>
          <w:lang w:val="en-GB"/>
        </w:rPr>
        <w:t>centralised</w:t>
      </w:r>
      <w:r w:rsidRPr="00BB4E20">
        <w:rPr>
          <w:rFonts w:ascii="Garamond" w:hAnsi="Garamond" w:cs="Arial"/>
          <w:sz w:val="24"/>
          <w:szCs w:val="24"/>
          <w:lang w:val="en-GB"/>
        </w:rPr>
        <w:t xml:space="preserve">: </w:t>
      </w:r>
      <w:r w:rsidRPr="00BB4E20">
        <w:rPr>
          <w:rFonts w:ascii="Garamond" w:eastAsia="Times New Roman" w:hAnsi="Garamond"/>
          <w:sz w:val="24"/>
          <w:szCs w:val="24"/>
          <w:lang w:eastAsia="hu-HU"/>
        </w:rPr>
        <w:t>the former judicial body in cha</w:t>
      </w:r>
      <w:r w:rsidR="0081081E">
        <w:rPr>
          <w:rFonts w:ascii="Garamond" w:eastAsia="Times New Roman" w:hAnsi="Garamond"/>
          <w:sz w:val="24"/>
          <w:szCs w:val="24"/>
          <w:lang w:eastAsia="hu-HU"/>
        </w:rPr>
        <w:t xml:space="preserve">rge of administrating courts was </w:t>
      </w:r>
      <w:r w:rsidRPr="00BB4E20">
        <w:rPr>
          <w:rFonts w:ascii="Garamond" w:eastAsia="Times New Roman" w:hAnsi="Garamond"/>
          <w:sz w:val="24"/>
          <w:szCs w:val="24"/>
          <w:lang w:eastAsia="hu-HU"/>
        </w:rPr>
        <w:t>replaced by a one-person decision-making mechanism, the President of the newly established National Judicial Office</w:t>
      </w:r>
      <w:r w:rsidR="00CF64F3">
        <w:rPr>
          <w:rFonts w:ascii="Garamond" w:eastAsia="Times New Roman" w:hAnsi="Garamond"/>
          <w:sz w:val="24"/>
          <w:szCs w:val="24"/>
          <w:lang w:eastAsia="hu-HU"/>
        </w:rPr>
        <w:t xml:space="preserve"> (NJO)</w:t>
      </w:r>
      <w:r>
        <w:rPr>
          <w:rFonts w:ascii="Garamond" w:eastAsia="Times New Roman" w:hAnsi="Garamond"/>
          <w:sz w:val="24"/>
          <w:szCs w:val="24"/>
          <w:lang w:eastAsia="hu-HU"/>
        </w:rPr>
        <w:t xml:space="preserve">. </w:t>
      </w:r>
      <w:r w:rsidRPr="00BB4E20">
        <w:rPr>
          <w:rFonts w:ascii="Garamond" w:eastAsia="Times New Roman" w:hAnsi="Garamond"/>
          <w:sz w:val="24"/>
          <w:szCs w:val="24"/>
          <w:lang w:eastAsia="hu-HU"/>
        </w:rPr>
        <w:t xml:space="preserve">The reform model chosen and the </w:t>
      </w:r>
      <w:r w:rsidRPr="00354FBF">
        <w:rPr>
          <w:rFonts w:ascii="Garamond" w:eastAsia="Times New Roman" w:hAnsi="Garamond"/>
          <w:b/>
          <w:sz w:val="24"/>
          <w:szCs w:val="24"/>
          <w:lang w:eastAsia="hu-HU"/>
        </w:rPr>
        <w:t>extensive powers</w:t>
      </w:r>
      <w:r w:rsidRPr="00BB4E20">
        <w:rPr>
          <w:rFonts w:ascii="Garamond" w:eastAsia="Times New Roman" w:hAnsi="Garamond"/>
          <w:sz w:val="24"/>
          <w:szCs w:val="24"/>
          <w:lang w:eastAsia="hu-HU"/>
        </w:rPr>
        <w:t xml:space="preserve"> of the NJO’s President were </w:t>
      </w:r>
      <w:r w:rsidRPr="00354FBF">
        <w:rPr>
          <w:rFonts w:ascii="Garamond" w:eastAsia="Times New Roman" w:hAnsi="Garamond"/>
          <w:b/>
          <w:sz w:val="24"/>
          <w:szCs w:val="24"/>
          <w:lang w:eastAsia="hu-HU"/>
        </w:rPr>
        <w:t>criticized by the Venice Commission</w:t>
      </w:r>
      <w:r w:rsidRPr="00BB4E20">
        <w:rPr>
          <w:rFonts w:ascii="Garamond" w:eastAsia="Times New Roman" w:hAnsi="Garamond"/>
          <w:sz w:val="24"/>
          <w:szCs w:val="24"/>
          <w:lang w:eastAsia="hu-HU"/>
        </w:rPr>
        <w:t xml:space="preserve"> in both of its opinions on judicial laws in Hungary, and </w:t>
      </w:r>
      <w:r w:rsidR="0081081E">
        <w:rPr>
          <w:rFonts w:ascii="Garamond" w:eastAsia="Times New Roman" w:hAnsi="Garamond"/>
          <w:sz w:val="24"/>
          <w:szCs w:val="24"/>
          <w:lang w:eastAsia="hu-HU"/>
        </w:rPr>
        <w:t xml:space="preserve">it was </w:t>
      </w:r>
      <w:r w:rsidRPr="00BB4E20">
        <w:rPr>
          <w:rFonts w:ascii="Garamond" w:eastAsia="Times New Roman" w:hAnsi="Garamond"/>
          <w:sz w:val="24"/>
          <w:szCs w:val="24"/>
          <w:lang w:eastAsia="hu-HU"/>
        </w:rPr>
        <w:t>stated that since the President of the NJO (who is</w:t>
      </w:r>
      <w:r w:rsidR="0081081E">
        <w:rPr>
          <w:rFonts w:ascii="Garamond" w:eastAsia="Times New Roman" w:hAnsi="Garamond"/>
          <w:sz w:val="24"/>
          <w:szCs w:val="24"/>
          <w:lang w:eastAsia="hu-HU"/>
        </w:rPr>
        <w:t xml:space="preserve"> elected by the Parliament) is “</w:t>
      </w:r>
      <w:r w:rsidRPr="00BB4E20">
        <w:rPr>
          <w:rFonts w:ascii="Garamond" w:eastAsia="Times New Roman" w:hAnsi="Garamond"/>
          <w:sz w:val="24"/>
          <w:szCs w:val="24"/>
          <w:lang w:eastAsia="hu-HU"/>
        </w:rPr>
        <w:t xml:space="preserve">an external actor from the viewpoint of the </w:t>
      </w:r>
      <w:r w:rsidRPr="00BB4E20">
        <w:rPr>
          <w:rFonts w:ascii="Garamond" w:hAnsi="Garamond" w:cs="TTE1AF73B0t00"/>
          <w:sz w:val="24"/>
          <w:szCs w:val="24"/>
        </w:rPr>
        <w:t>judiciary, it cannot be regarded as an organ of judicial self-government</w:t>
      </w:r>
      <w:r w:rsidRPr="00BB4E20">
        <w:rPr>
          <w:rFonts w:ascii="Garamond" w:hAnsi="Garamond" w:cs="TTE1B794B8t00"/>
          <w:sz w:val="24"/>
          <w:szCs w:val="24"/>
        </w:rPr>
        <w:t>”</w:t>
      </w:r>
      <w:r w:rsidRPr="00BB4E20">
        <w:rPr>
          <w:rFonts w:ascii="Garamond" w:hAnsi="Garamond" w:cs="TTE1B60520t00"/>
          <w:sz w:val="24"/>
          <w:szCs w:val="24"/>
        </w:rPr>
        <w:t xml:space="preserve">. </w:t>
      </w:r>
      <w:r w:rsidR="00CF64F3">
        <w:rPr>
          <w:rFonts w:ascii="Garamond" w:hAnsi="Garamond" w:cs="TTE1B60520t00"/>
          <w:sz w:val="24"/>
          <w:szCs w:val="24"/>
        </w:rPr>
        <w:t>Despite the criticism, t</w:t>
      </w:r>
      <w:r w:rsidRPr="00BB4E20">
        <w:rPr>
          <w:rFonts w:ascii="Garamond" w:hAnsi="Garamond" w:cs="TTE1B60520t00"/>
          <w:sz w:val="24"/>
          <w:szCs w:val="24"/>
        </w:rPr>
        <w:t>he Fourth Amendment to the Fundamental Law</w:t>
      </w:r>
      <w:r w:rsidR="00CF64F3">
        <w:rPr>
          <w:rFonts w:ascii="Garamond" w:hAnsi="Garamond" w:cs="TTE1B60520t00"/>
          <w:sz w:val="24"/>
          <w:szCs w:val="24"/>
        </w:rPr>
        <w:t xml:space="preserve"> </w:t>
      </w:r>
      <w:r w:rsidR="00CF64F3">
        <w:rPr>
          <w:rFonts w:ascii="Garamond" w:hAnsi="Garamond"/>
          <w:sz w:val="24"/>
          <w:szCs w:val="24"/>
        </w:rPr>
        <w:t>raised</w:t>
      </w:r>
      <w:r w:rsidRPr="00CF64F3">
        <w:rPr>
          <w:rFonts w:ascii="Garamond" w:hAnsi="Garamond"/>
          <w:sz w:val="24"/>
          <w:szCs w:val="24"/>
        </w:rPr>
        <w:t xml:space="preserve"> the position of </w:t>
      </w:r>
      <w:r w:rsidR="0081081E">
        <w:rPr>
          <w:rFonts w:ascii="Garamond" w:hAnsi="Garamond"/>
          <w:sz w:val="24"/>
          <w:szCs w:val="24"/>
        </w:rPr>
        <w:t xml:space="preserve">the President of the NJO to a </w:t>
      </w:r>
      <w:r w:rsidR="000100AA">
        <w:rPr>
          <w:rFonts w:ascii="Garamond" w:hAnsi="Garamond"/>
          <w:sz w:val="24"/>
          <w:szCs w:val="24"/>
        </w:rPr>
        <w:t>constitutional level.</w:t>
      </w:r>
      <w:r w:rsidRPr="00CF64F3">
        <w:rPr>
          <w:rFonts w:ascii="Garamond" w:hAnsi="Garamond"/>
          <w:sz w:val="24"/>
          <w:szCs w:val="24"/>
        </w:rPr>
        <w:t xml:space="preserve"> </w:t>
      </w:r>
      <w:r w:rsidR="00C71C23">
        <w:rPr>
          <w:rFonts w:ascii="Garamond" w:hAnsi="Garamond"/>
          <w:sz w:val="24"/>
          <w:szCs w:val="24"/>
        </w:rPr>
        <w:t>Later on – following the</w:t>
      </w:r>
      <w:r w:rsidR="000100AA">
        <w:rPr>
          <w:rFonts w:ascii="Garamond" w:hAnsi="Garamond"/>
          <w:sz w:val="24"/>
          <w:szCs w:val="24"/>
        </w:rPr>
        <w:t xml:space="preserve"> Venice Commission’s </w:t>
      </w:r>
      <w:r w:rsidR="00094791">
        <w:rPr>
          <w:rFonts w:ascii="Garamond" w:hAnsi="Garamond"/>
          <w:sz w:val="24"/>
          <w:szCs w:val="24"/>
        </w:rPr>
        <w:t xml:space="preserve">subsequent </w:t>
      </w:r>
      <w:r w:rsidR="000100AA">
        <w:rPr>
          <w:rFonts w:ascii="Garamond" w:hAnsi="Garamond"/>
          <w:sz w:val="24"/>
          <w:szCs w:val="24"/>
        </w:rPr>
        <w:t xml:space="preserve">criticism </w:t>
      </w:r>
      <w:r w:rsidR="00C71C23">
        <w:rPr>
          <w:rFonts w:ascii="Garamond" w:hAnsi="Garamond"/>
          <w:sz w:val="24"/>
          <w:szCs w:val="24"/>
        </w:rPr>
        <w:t>– the status of the NJO president was re-regulated and her powers were restricted,</w:t>
      </w:r>
      <w:r w:rsidR="000100AA">
        <w:rPr>
          <w:rFonts w:ascii="Garamond" w:hAnsi="Garamond"/>
          <w:sz w:val="24"/>
          <w:szCs w:val="24"/>
        </w:rPr>
        <w:t xml:space="preserve"> but </w:t>
      </w:r>
      <w:r w:rsidR="00C71C23">
        <w:rPr>
          <w:rFonts w:ascii="Garamond" w:hAnsi="Garamond"/>
          <w:sz w:val="24"/>
          <w:szCs w:val="24"/>
        </w:rPr>
        <w:t>the basic concern that significant decisions may be made by an “external actor” is still in place</w:t>
      </w:r>
      <w:r w:rsidR="000100AA">
        <w:rPr>
          <w:rFonts w:ascii="Garamond" w:hAnsi="Garamond"/>
          <w:sz w:val="24"/>
          <w:szCs w:val="24"/>
        </w:rPr>
        <w:t>.</w:t>
      </w:r>
    </w:p>
    <w:p w:rsidR="00B86306" w:rsidRPr="00CC51CD" w:rsidRDefault="005C6520" w:rsidP="00BB4E20">
      <w:pPr>
        <w:pStyle w:val="Listaszerbekezds"/>
        <w:numPr>
          <w:ilvl w:val="0"/>
          <w:numId w:val="12"/>
        </w:numPr>
        <w:autoSpaceDE w:val="0"/>
        <w:autoSpaceDN w:val="0"/>
        <w:adjustRightInd w:val="0"/>
        <w:spacing w:after="120" w:line="240" w:lineRule="auto"/>
        <w:contextualSpacing w:val="0"/>
        <w:jc w:val="both"/>
        <w:rPr>
          <w:rFonts w:ascii="Garamond" w:hAnsi="Garamond"/>
          <w:sz w:val="24"/>
          <w:szCs w:val="24"/>
          <w:lang w:val="en-GB"/>
        </w:rPr>
      </w:pPr>
      <w:r w:rsidRPr="00BB4E20">
        <w:rPr>
          <w:rFonts w:ascii="Garamond" w:hAnsi="Garamond" w:cs="Arial"/>
          <w:sz w:val="24"/>
          <w:szCs w:val="24"/>
          <w:lang w:val="en-GB"/>
        </w:rPr>
        <w:t xml:space="preserve">The </w:t>
      </w:r>
      <w:r w:rsidRPr="00BB4E20">
        <w:rPr>
          <w:rFonts w:ascii="Garamond" w:hAnsi="Garamond" w:cs="Arial"/>
          <w:b/>
          <w:sz w:val="24"/>
          <w:szCs w:val="24"/>
          <w:lang w:val="en-GB"/>
        </w:rPr>
        <w:t>mandate of</w:t>
      </w:r>
      <w:r w:rsidRPr="00CC51CD">
        <w:rPr>
          <w:rFonts w:ascii="Garamond" w:hAnsi="Garamond" w:cs="Arial"/>
          <w:b/>
          <w:sz w:val="24"/>
          <w:szCs w:val="24"/>
          <w:lang w:val="en-GB"/>
        </w:rPr>
        <w:t xml:space="preserve"> the </w:t>
      </w:r>
      <w:r w:rsidR="0081081E">
        <w:rPr>
          <w:rFonts w:ascii="Garamond" w:hAnsi="Garamond" w:cs="Arial"/>
          <w:b/>
          <w:sz w:val="24"/>
          <w:szCs w:val="24"/>
          <w:lang w:val="en-GB"/>
        </w:rPr>
        <w:t xml:space="preserve">former </w:t>
      </w:r>
      <w:r w:rsidRPr="00CC51CD">
        <w:rPr>
          <w:rFonts w:ascii="Garamond" w:hAnsi="Garamond" w:cs="Arial"/>
          <w:b/>
          <w:sz w:val="24"/>
          <w:szCs w:val="24"/>
          <w:lang w:val="en-GB"/>
        </w:rPr>
        <w:t>President of the Supreme Court</w:t>
      </w:r>
      <w:r w:rsidR="00631D0E" w:rsidRPr="00CC51CD">
        <w:rPr>
          <w:rFonts w:ascii="Garamond" w:hAnsi="Garamond" w:cs="Arial"/>
          <w:b/>
          <w:sz w:val="24"/>
          <w:szCs w:val="24"/>
          <w:lang w:val="en-GB"/>
        </w:rPr>
        <w:t xml:space="preserve"> </w:t>
      </w:r>
      <w:r w:rsidRPr="00CC51CD">
        <w:rPr>
          <w:rFonts w:ascii="Garamond" w:hAnsi="Garamond" w:cs="Arial"/>
          <w:b/>
          <w:sz w:val="24"/>
          <w:szCs w:val="24"/>
          <w:lang w:val="en-GB"/>
        </w:rPr>
        <w:t xml:space="preserve">was terminated </w:t>
      </w:r>
      <w:r w:rsidR="00631D0E" w:rsidRPr="00CC51CD">
        <w:rPr>
          <w:rFonts w:ascii="Garamond" w:hAnsi="Garamond" w:cs="Tahoma"/>
          <w:b/>
          <w:sz w:val="24"/>
          <w:szCs w:val="24"/>
          <w:lang w:val="en-GB"/>
        </w:rPr>
        <w:t xml:space="preserve">three and a half years </w:t>
      </w:r>
      <w:r w:rsidRPr="00CC51CD">
        <w:rPr>
          <w:rFonts w:ascii="Garamond" w:hAnsi="Garamond" w:cs="Arial"/>
          <w:b/>
          <w:sz w:val="24"/>
          <w:szCs w:val="24"/>
          <w:lang w:val="en-GB"/>
        </w:rPr>
        <w:t>befo</w:t>
      </w:r>
      <w:r w:rsidR="0081081E">
        <w:rPr>
          <w:rFonts w:ascii="Garamond" w:hAnsi="Garamond" w:cs="Arial"/>
          <w:b/>
          <w:sz w:val="24"/>
          <w:szCs w:val="24"/>
          <w:lang w:val="en-GB"/>
        </w:rPr>
        <w:t>re the end of the</w:t>
      </w:r>
      <w:r w:rsidR="00631D0E" w:rsidRPr="00CC51CD">
        <w:rPr>
          <w:rFonts w:ascii="Garamond" w:hAnsi="Garamond" w:cs="Arial"/>
          <w:b/>
          <w:sz w:val="24"/>
          <w:szCs w:val="24"/>
          <w:lang w:val="en-GB"/>
        </w:rPr>
        <w:t xml:space="preserve"> regular term</w:t>
      </w:r>
      <w:r w:rsidR="00631D0E">
        <w:rPr>
          <w:rFonts w:ascii="Garamond" w:hAnsi="Garamond" w:cs="Arial"/>
          <w:sz w:val="24"/>
          <w:szCs w:val="24"/>
          <w:lang w:val="en-GB"/>
        </w:rPr>
        <w:t xml:space="preserve">, as of </w:t>
      </w:r>
      <w:r w:rsidR="00B86306" w:rsidRPr="00631D0E">
        <w:rPr>
          <w:rFonts w:ascii="Garamond" w:hAnsi="Garamond" w:cs="Tahoma"/>
          <w:sz w:val="24"/>
          <w:szCs w:val="24"/>
          <w:lang w:val="en-GB"/>
        </w:rPr>
        <w:t>1 January 2012 by the Transitional Provisions of the Fundamental Law. The government argued that the dismissal was necessary because of the reorganization of the court syste</w:t>
      </w:r>
      <w:r w:rsidR="00631D0E">
        <w:rPr>
          <w:rFonts w:ascii="Garamond" w:hAnsi="Garamond" w:cs="Tahoma"/>
          <w:sz w:val="24"/>
          <w:szCs w:val="24"/>
          <w:lang w:val="en-GB"/>
        </w:rPr>
        <w:t xml:space="preserve">m, affecting the Supreme Court. On the other hand, </w:t>
      </w:r>
      <w:r w:rsidR="0081081E">
        <w:rPr>
          <w:rFonts w:ascii="Garamond" w:hAnsi="Garamond" w:cs="Tahoma"/>
          <w:sz w:val="24"/>
          <w:szCs w:val="24"/>
          <w:lang w:val="en-GB"/>
        </w:rPr>
        <w:t xml:space="preserve">several </w:t>
      </w:r>
      <w:r w:rsidR="00631D0E">
        <w:rPr>
          <w:rFonts w:ascii="Garamond" w:hAnsi="Garamond" w:cs="Tahoma"/>
          <w:sz w:val="24"/>
          <w:szCs w:val="24"/>
          <w:lang w:val="en-GB"/>
        </w:rPr>
        <w:t xml:space="preserve">critics </w:t>
      </w:r>
      <w:r w:rsidR="00CC51CD">
        <w:rPr>
          <w:rFonts w:ascii="Garamond" w:hAnsi="Garamond" w:cs="Tahoma"/>
          <w:sz w:val="24"/>
          <w:szCs w:val="24"/>
        </w:rPr>
        <w:t>stated</w:t>
      </w:r>
      <w:r w:rsidR="00631D0E" w:rsidRPr="00631D0E">
        <w:rPr>
          <w:rFonts w:ascii="Garamond" w:hAnsi="Garamond" w:cs="Tahoma"/>
          <w:sz w:val="24"/>
          <w:szCs w:val="24"/>
        </w:rPr>
        <w:t xml:space="preserve"> that the transformation of the Supreme Court had not resulted in such significant changes in the court’s duties that would have justified the dismiss</w:t>
      </w:r>
      <w:r w:rsidR="0081081E">
        <w:rPr>
          <w:rFonts w:ascii="Garamond" w:hAnsi="Garamond" w:cs="Tahoma"/>
          <w:sz w:val="24"/>
          <w:szCs w:val="24"/>
        </w:rPr>
        <w:t xml:space="preserve">al of its President, and </w:t>
      </w:r>
      <w:r w:rsidR="00631D0E">
        <w:rPr>
          <w:rFonts w:ascii="Garamond" w:hAnsi="Garamond" w:cs="Tahoma"/>
          <w:sz w:val="24"/>
          <w:szCs w:val="24"/>
        </w:rPr>
        <w:t xml:space="preserve">stressed that apparently </w:t>
      </w:r>
      <w:r w:rsidR="00CC51CD">
        <w:rPr>
          <w:rFonts w:ascii="Garamond" w:hAnsi="Garamond" w:cs="Tahoma"/>
          <w:sz w:val="24"/>
          <w:szCs w:val="24"/>
        </w:rPr>
        <w:t xml:space="preserve">the </w:t>
      </w:r>
      <w:r w:rsidR="00631D0E">
        <w:rPr>
          <w:rFonts w:ascii="Garamond" w:hAnsi="Garamond" w:cs="Tahoma"/>
          <w:sz w:val="24"/>
          <w:szCs w:val="24"/>
        </w:rPr>
        <w:t>President</w:t>
      </w:r>
      <w:r w:rsidR="00631D0E" w:rsidRPr="00631D0E">
        <w:rPr>
          <w:rFonts w:ascii="Garamond" w:hAnsi="Garamond" w:cs="Tahoma"/>
          <w:sz w:val="24"/>
          <w:szCs w:val="24"/>
        </w:rPr>
        <w:t xml:space="preserve">’s mandate had been terminated and new rules to exclude him from being re-elected had been adopted in late 2011 because he publicly criticized several legislative actions of the new government. </w:t>
      </w:r>
      <w:r w:rsidR="00631D0E">
        <w:rPr>
          <w:rFonts w:ascii="Garamond" w:hAnsi="Garamond" w:cs="Tahoma"/>
          <w:sz w:val="24"/>
          <w:szCs w:val="24"/>
          <w:lang w:val="en-GB"/>
        </w:rPr>
        <w:t xml:space="preserve">These </w:t>
      </w:r>
      <w:r w:rsidR="0081081E">
        <w:rPr>
          <w:rFonts w:ascii="Garamond" w:hAnsi="Garamond" w:cs="Tahoma"/>
          <w:sz w:val="24"/>
          <w:szCs w:val="24"/>
          <w:lang w:val="en-GB"/>
        </w:rPr>
        <w:t>c</w:t>
      </w:r>
      <w:r w:rsidR="00B86306" w:rsidRPr="00631D0E">
        <w:rPr>
          <w:rFonts w:ascii="Garamond" w:hAnsi="Garamond" w:cs="Tahoma"/>
          <w:sz w:val="24"/>
          <w:szCs w:val="24"/>
          <w:lang w:val="en-GB"/>
        </w:rPr>
        <w:t xml:space="preserve">oncerns were eventually confirmed by the </w:t>
      </w:r>
      <w:r w:rsidR="00B86306" w:rsidRPr="0081081E">
        <w:rPr>
          <w:rFonts w:ascii="Garamond" w:hAnsi="Garamond" w:cs="Tahoma"/>
          <w:sz w:val="24"/>
          <w:szCs w:val="24"/>
          <w:lang w:val="en-GB"/>
        </w:rPr>
        <w:t>opinion</w:t>
      </w:r>
      <w:r w:rsidR="00B86306" w:rsidRPr="00631D0E">
        <w:rPr>
          <w:rFonts w:ascii="Garamond" w:hAnsi="Garamond" w:cs="Tahoma"/>
          <w:sz w:val="24"/>
          <w:szCs w:val="24"/>
          <w:lang w:val="en-GB"/>
        </w:rPr>
        <w:t xml:space="preserve"> of the </w:t>
      </w:r>
      <w:r w:rsidR="00B86306" w:rsidRPr="00CC51CD">
        <w:rPr>
          <w:rFonts w:ascii="Garamond" w:hAnsi="Garamond" w:cs="Tahoma"/>
          <w:b/>
          <w:sz w:val="24"/>
          <w:szCs w:val="24"/>
          <w:lang w:val="en-GB"/>
        </w:rPr>
        <w:t>Venice Commission</w:t>
      </w:r>
      <w:r w:rsidR="00B86306" w:rsidRPr="00631D0E">
        <w:rPr>
          <w:rFonts w:ascii="Garamond" w:hAnsi="Garamond" w:cs="Tahoma"/>
          <w:sz w:val="24"/>
          <w:szCs w:val="24"/>
          <w:lang w:val="en-GB"/>
        </w:rPr>
        <w:t xml:space="preserve"> </w:t>
      </w:r>
      <w:r w:rsidR="0081081E">
        <w:rPr>
          <w:rFonts w:ascii="Garamond" w:hAnsi="Garamond" w:cs="Tahoma"/>
          <w:sz w:val="24"/>
          <w:szCs w:val="24"/>
          <w:lang w:val="en-GB"/>
        </w:rPr>
        <w:t xml:space="preserve">and </w:t>
      </w:r>
      <w:r w:rsidR="00EE61D7">
        <w:rPr>
          <w:rFonts w:ascii="Garamond" w:hAnsi="Garamond" w:cs="Tahoma"/>
          <w:sz w:val="24"/>
          <w:szCs w:val="24"/>
          <w:lang w:val="en-GB"/>
        </w:rPr>
        <w:t>by the</w:t>
      </w:r>
      <w:r w:rsidR="00B86306" w:rsidRPr="00631D0E">
        <w:rPr>
          <w:rFonts w:ascii="Garamond" w:hAnsi="Garamond" w:cs="Tahoma"/>
          <w:sz w:val="24"/>
          <w:szCs w:val="24"/>
          <w:lang w:val="en-GB"/>
        </w:rPr>
        <w:t xml:space="preserve"> </w:t>
      </w:r>
      <w:r w:rsidR="00B86306" w:rsidRPr="00EE61D7">
        <w:rPr>
          <w:rFonts w:ascii="Garamond" w:hAnsi="Garamond" w:cs="Tahoma"/>
          <w:sz w:val="24"/>
          <w:szCs w:val="24"/>
          <w:lang w:val="en-GB"/>
        </w:rPr>
        <w:t>opinion</w:t>
      </w:r>
      <w:r w:rsidR="00B86306" w:rsidRPr="00631D0E">
        <w:rPr>
          <w:rFonts w:ascii="Garamond" w:hAnsi="Garamond" w:cs="Tahoma"/>
          <w:sz w:val="24"/>
          <w:szCs w:val="24"/>
          <w:lang w:val="en-GB"/>
        </w:rPr>
        <w:t xml:space="preserve"> of the</w:t>
      </w:r>
      <w:r w:rsidR="00EE61D7" w:rsidRPr="00EE61D7">
        <w:rPr>
          <w:rFonts w:ascii="Garamond" w:hAnsi="Garamond" w:cs="Tahoma"/>
          <w:b/>
          <w:sz w:val="24"/>
          <w:szCs w:val="24"/>
          <w:lang w:val="en-GB"/>
        </w:rPr>
        <w:t xml:space="preserve"> </w:t>
      </w:r>
      <w:r w:rsidR="00EE61D7" w:rsidRPr="00EE61D7">
        <w:rPr>
          <w:rFonts w:ascii="Garamond" w:hAnsi="Garamond" w:cs="Tahoma"/>
          <w:sz w:val="24"/>
          <w:szCs w:val="24"/>
          <w:lang w:val="en-GB"/>
        </w:rPr>
        <w:t>Monitoring Committee</w:t>
      </w:r>
      <w:r w:rsidR="00B86306" w:rsidRPr="00631D0E">
        <w:rPr>
          <w:rFonts w:ascii="Garamond" w:hAnsi="Garamond" w:cs="Tahoma"/>
          <w:sz w:val="24"/>
          <w:szCs w:val="24"/>
          <w:lang w:val="en-GB"/>
        </w:rPr>
        <w:t xml:space="preserve"> </w:t>
      </w:r>
      <w:r w:rsidR="00EE61D7" w:rsidRPr="00EC1900">
        <w:rPr>
          <w:rFonts w:ascii="Garamond" w:hAnsi="Garamond" w:cs="Arial"/>
          <w:sz w:val="24"/>
          <w:szCs w:val="24"/>
        </w:rPr>
        <w:t>of the Parliamentary Assembly of the Council of Europe</w:t>
      </w:r>
      <w:r w:rsidR="00B86306" w:rsidRPr="00631D0E">
        <w:rPr>
          <w:rFonts w:ascii="Garamond" w:hAnsi="Garamond" w:cs="Tahoma"/>
          <w:sz w:val="24"/>
          <w:szCs w:val="24"/>
          <w:lang w:val="en-GB"/>
        </w:rPr>
        <w:t>.</w:t>
      </w:r>
      <w:r w:rsidR="0081081E">
        <w:rPr>
          <w:rStyle w:val="Lbjegyzet-hivatkozs"/>
          <w:rFonts w:ascii="Garamond" w:hAnsi="Garamond" w:cs="Tahoma"/>
          <w:sz w:val="24"/>
          <w:szCs w:val="24"/>
          <w:lang w:val="en-GB"/>
        </w:rPr>
        <w:footnoteReference w:id="7"/>
      </w:r>
      <w:r w:rsidR="00B86306" w:rsidRPr="00631D0E">
        <w:rPr>
          <w:rFonts w:ascii="Garamond" w:hAnsi="Garamond" w:cs="Tahoma"/>
          <w:sz w:val="24"/>
          <w:szCs w:val="24"/>
          <w:lang w:val="en-GB"/>
        </w:rPr>
        <w:t xml:space="preserve"> </w:t>
      </w:r>
      <w:r w:rsidR="00631D0E">
        <w:rPr>
          <w:rFonts w:ascii="Garamond" w:hAnsi="Garamond" w:cs="Tahoma"/>
          <w:sz w:val="24"/>
          <w:szCs w:val="24"/>
          <w:lang w:val="en-GB"/>
        </w:rPr>
        <w:t xml:space="preserve">Furthermore, in its respective decision issued in May 2014 </w:t>
      </w:r>
      <w:r w:rsidR="00CC51CD">
        <w:rPr>
          <w:rFonts w:ascii="Garamond" w:hAnsi="Garamond" w:cs="Tahoma"/>
          <w:sz w:val="24"/>
          <w:szCs w:val="24"/>
          <w:lang w:val="en-GB"/>
        </w:rPr>
        <w:t xml:space="preserve">(see case </w:t>
      </w:r>
      <w:r w:rsidR="00CC51CD" w:rsidRPr="00CC51CD">
        <w:rPr>
          <w:rFonts w:ascii="Garamond" w:hAnsi="Garamond" w:cs="Tahoma"/>
          <w:i/>
          <w:sz w:val="24"/>
          <w:szCs w:val="24"/>
          <w:lang w:val="en-GB"/>
        </w:rPr>
        <w:t>Baka v. Hungary</w:t>
      </w:r>
      <w:r w:rsidR="00CC51CD">
        <w:rPr>
          <w:rFonts w:ascii="Garamond" w:hAnsi="Garamond" w:cs="Tahoma"/>
          <w:sz w:val="24"/>
          <w:szCs w:val="24"/>
          <w:lang w:val="en-GB"/>
        </w:rPr>
        <w:t xml:space="preserve">) </w:t>
      </w:r>
      <w:r w:rsidR="00B86306" w:rsidRPr="00631D0E">
        <w:rPr>
          <w:rFonts w:ascii="Garamond" w:hAnsi="Garamond" w:cs="Tahoma"/>
          <w:b/>
          <w:sz w:val="24"/>
          <w:szCs w:val="24"/>
          <w:lang w:val="en-GB"/>
        </w:rPr>
        <w:t>the E</w:t>
      </w:r>
      <w:r w:rsidR="00631D0E">
        <w:rPr>
          <w:rFonts w:ascii="Garamond" w:hAnsi="Garamond" w:cs="Tahoma"/>
          <w:b/>
          <w:sz w:val="24"/>
          <w:szCs w:val="24"/>
          <w:lang w:val="en-GB"/>
        </w:rPr>
        <w:t xml:space="preserve">uropean </w:t>
      </w:r>
      <w:r w:rsidR="00B86306" w:rsidRPr="00631D0E">
        <w:rPr>
          <w:rFonts w:ascii="Garamond" w:hAnsi="Garamond" w:cs="Tahoma"/>
          <w:b/>
          <w:sz w:val="24"/>
          <w:szCs w:val="24"/>
          <w:lang w:val="en-GB"/>
        </w:rPr>
        <w:t>C</w:t>
      </w:r>
      <w:r w:rsidR="00CC51CD">
        <w:rPr>
          <w:rFonts w:ascii="Garamond" w:hAnsi="Garamond" w:cs="Tahoma"/>
          <w:b/>
          <w:sz w:val="24"/>
          <w:szCs w:val="24"/>
          <w:lang w:val="en-GB"/>
        </w:rPr>
        <w:t xml:space="preserve">ourt of Human </w:t>
      </w:r>
      <w:r w:rsidR="00B86306" w:rsidRPr="00631D0E">
        <w:rPr>
          <w:rFonts w:ascii="Garamond" w:hAnsi="Garamond" w:cs="Tahoma"/>
          <w:b/>
          <w:sz w:val="24"/>
          <w:szCs w:val="24"/>
          <w:lang w:val="en-GB"/>
        </w:rPr>
        <w:t>R</w:t>
      </w:r>
      <w:r w:rsidR="00CC51CD">
        <w:rPr>
          <w:rFonts w:ascii="Garamond" w:hAnsi="Garamond" w:cs="Tahoma"/>
          <w:b/>
          <w:sz w:val="24"/>
          <w:szCs w:val="24"/>
          <w:lang w:val="en-GB"/>
        </w:rPr>
        <w:t>ights</w:t>
      </w:r>
      <w:r w:rsidR="00B86306" w:rsidRPr="00631D0E">
        <w:rPr>
          <w:rFonts w:ascii="Garamond" w:hAnsi="Garamond" w:cs="Tahoma"/>
          <w:b/>
          <w:sz w:val="24"/>
          <w:szCs w:val="24"/>
          <w:lang w:val="en-GB"/>
        </w:rPr>
        <w:t xml:space="preserve"> </w:t>
      </w:r>
      <w:r w:rsidR="00B86306" w:rsidRPr="00CC51CD">
        <w:rPr>
          <w:rFonts w:ascii="Garamond" w:hAnsi="Garamond" w:cs="Tahoma"/>
          <w:sz w:val="24"/>
          <w:szCs w:val="24"/>
          <w:lang w:val="en-GB"/>
        </w:rPr>
        <w:t xml:space="preserve">held that the premature termination of </w:t>
      </w:r>
      <w:r w:rsidR="00CC51CD">
        <w:rPr>
          <w:rFonts w:ascii="Garamond" w:hAnsi="Garamond" w:cs="Tahoma"/>
          <w:sz w:val="24"/>
          <w:szCs w:val="24"/>
          <w:lang w:val="en-GB"/>
        </w:rPr>
        <w:t xml:space="preserve">the President’s </w:t>
      </w:r>
      <w:r w:rsidR="00B86306" w:rsidRPr="00CC51CD">
        <w:rPr>
          <w:rFonts w:ascii="Garamond" w:hAnsi="Garamond" w:cs="Tahoma"/>
          <w:sz w:val="24"/>
          <w:szCs w:val="24"/>
          <w:lang w:val="en-GB"/>
        </w:rPr>
        <w:t>mandate</w:t>
      </w:r>
      <w:r w:rsidR="00EE61D7">
        <w:rPr>
          <w:rFonts w:ascii="Garamond" w:hAnsi="Garamond" w:cs="Tahoma"/>
          <w:sz w:val="24"/>
          <w:szCs w:val="24"/>
          <w:lang w:val="en-GB"/>
        </w:rPr>
        <w:t xml:space="preserve"> had</w:t>
      </w:r>
      <w:r w:rsidR="00B86306" w:rsidRPr="00CC51CD">
        <w:rPr>
          <w:rFonts w:ascii="Garamond" w:hAnsi="Garamond" w:cs="Tahoma"/>
          <w:sz w:val="24"/>
          <w:szCs w:val="24"/>
          <w:lang w:val="en-GB"/>
        </w:rPr>
        <w:t xml:space="preserve"> </w:t>
      </w:r>
      <w:r w:rsidR="00B86306" w:rsidRPr="00CC51CD">
        <w:rPr>
          <w:rFonts w:ascii="Garamond" w:hAnsi="Garamond" w:cs="Tahoma"/>
          <w:b/>
          <w:sz w:val="24"/>
          <w:szCs w:val="24"/>
          <w:lang w:val="en-GB"/>
        </w:rPr>
        <w:t>violated the right of access to a tribunal</w:t>
      </w:r>
      <w:r w:rsidR="00B86306" w:rsidRPr="00CC51CD">
        <w:rPr>
          <w:rFonts w:ascii="Garamond" w:hAnsi="Garamond" w:cs="Tahoma"/>
          <w:sz w:val="24"/>
          <w:szCs w:val="24"/>
          <w:lang w:val="en-GB"/>
        </w:rPr>
        <w:t xml:space="preserve">, </w:t>
      </w:r>
      <w:r w:rsidR="00B86306" w:rsidRPr="00631D0E">
        <w:rPr>
          <w:rFonts w:ascii="Garamond" w:hAnsi="Garamond" w:cs="Tahoma"/>
          <w:sz w:val="24"/>
          <w:szCs w:val="24"/>
          <w:lang w:val="en-GB"/>
        </w:rPr>
        <w:t xml:space="preserve">because he could not challenge the termination of his mandate. The </w:t>
      </w:r>
      <w:proofErr w:type="spellStart"/>
      <w:r w:rsidR="00B86306" w:rsidRPr="00631D0E">
        <w:rPr>
          <w:rFonts w:ascii="Garamond" w:hAnsi="Garamond" w:cs="Tahoma"/>
          <w:sz w:val="24"/>
          <w:szCs w:val="24"/>
          <w:lang w:val="en-GB"/>
        </w:rPr>
        <w:t>ECtHR</w:t>
      </w:r>
      <w:proofErr w:type="spellEnd"/>
      <w:r w:rsidR="00B86306" w:rsidRPr="00631D0E">
        <w:rPr>
          <w:rFonts w:ascii="Garamond" w:hAnsi="Garamond" w:cs="Tahoma"/>
          <w:sz w:val="24"/>
          <w:szCs w:val="24"/>
          <w:lang w:val="en-GB"/>
        </w:rPr>
        <w:t xml:space="preserve"> also found that </w:t>
      </w:r>
      <w:r w:rsidR="00B86306" w:rsidRPr="00CC51CD">
        <w:rPr>
          <w:rFonts w:ascii="Garamond" w:hAnsi="Garamond" w:cs="Tahoma"/>
          <w:sz w:val="24"/>
          <w:szCs w:val="24"/>
          <w:lang w:val="en-GB"/>
        </w:rPr>
        <w:t xml:space="preserve">the </w:t>
      </w:r>
      <w:r w:rsidR="00B86306" w:rsidRPr="00CC51CD">
        <w:rPr>
          <w:rFonts w:ascii="Garamond" w:hAnsi="Garamond" w:cs="Tahoma"/>
          <w:b/>
          <w:sz w:val="24"/>
          <w:szCs w:val="24"/>
          <w:lang w:val="en-GB"/>
        </w:rPr>
        <w:t xml:space="preserve">dismissal </w:t>
      </w:r>
      <w:r w:rsidR="00B86306" w:rsidRPr="00CC51CD">
        <w:rPr>
          <w:rFonts w:ascii="Garamond" w:hAnsi="Garamond" w:cs="Tahoma"/>
          <w:sz w:val="24"/>
          <w:szCs w:val="24"/>
          <w:lang w:val="en-GB"/>
        </w:rPr>
        <w:t xml:space="preserve">“was not the result of a justified restructuring of the supreme judicial authority in Hungary, but in fact </w:t>
      </w:r>
      <w:r w:rsidR="00B86306" w:rsidRPr="00CC51CD">
        <w:rPr>
          <w:rFonts w:ascii="Garamond" w:hAnsi="Garamond" w:cs="Tahoma"/>
          <w:b/>
          <w:sz w:val="24"/>
          <w:szCs w:val="24"/>
          <w:lang w:val="en-GB"/>
        </w:rPr>
        <w:t>was set up on account of the views and criticisms that he had publicly expressed</w:t>
      </w:r>
      <w:r w:rsidR="00B86306" w:rsidRPr="00CC51CD">
        <w:rPr>
          <w:rFonts w:ascii="Garamond" w:hAnsi="Garamond" w:cs="Tahoma"/>
          <w:sz w:val="24"/>
          <w:szCs w:val="24"/>
          <w:lang w:val="en-GB"/>
        </w:rPr>
        <w:t xml:space="preserve"> in his professional capacity on the legislative reforms concerned”. Therefore,</w:t>
      </w:r>
      <w:r w:rsidR="00B86306" w:rsidRPr="00631D0E">
        <w:rPr>
          <w:rFonts w:ascii="Garamond" w:hAnsi="Garamond" w:cs="Tahoma"/>
          <w:b/>
          <w:sz w:val="24"/>
          <w:szCs w:val="24"/>
          <w:lang w:val="en-GB"/>
        </w:rPr>
        <w:t xml:space="preserve"> </w:t>
      </w:r>
      <w:r w:rsidR="00EE61D7">
        <w:rPr>
          <w:rFonts w:ascii="Garamond" w:hAnsi="Garamond" w:cs="Tahoma"/>
          <w:sz w:val="24"/>
          <w:szCs w:val="24"/>
          <w:lang w:val="en-GB"/>
        </w:rPr>
        <w:t>the President’s</w:t>
      </w:r>
      <w:r w:rsidR="00B86306" w:rsidRPr="00CC51CD">
        <w:rPr>
          <w:rFonts w:ascii="Garamond" w:hAnsi="Garamond" w:cs="Tahoma"/>
          <w:sz w:val="24"/>
          <w:szCs w:val="24"/>
          <w:lang w:val="en-GB"/>
        </w:rPr>
        <w:t xml:space="preserve"> right to freedom of expression was also violated.</w:t>
      </w:r>
    </w:p>
    <w:p w:rsidR="00AC2CEA" w:rsidRPr="00AC2CEA" w:rsidRDefault="000E7352" w:rsidP="00AC2CEA">
      <w:pPr>
        <w:pStyle w:val="Listaszerbekezds"/>
        <w:numPr>
          <w:ilvl w:val="0"/>
          <w:numId w:val="12"/>
        </w:numPr>
        <w:autoSpaceDE w:val="0"/>
        <w:autoSpaceDN w:val="0"/>
        <w:adjustRightInd w:val="0"/>
        <w:spacing w:after="120" w:line="240" w:lineRule="auto"/>
        <w:ind w:left="714" w:hanging="357"/>
        <w:contextualSpacing w:val="0"/>
        <w:jc w:val="both"/>
        <w:rPr>
          <w:rFonts w:ascii="Garamond" w:hAnsi="Garamond"/>
          <w:sz w:val="24"/>
          <w:szCs w:val="24"/>
          <w:lang w:val="en-GB"/>
        </w:rPr>
      </w:pPr>
      <w:r w:rsidRPr="00DB23AA">
        <w:rPr>
          <w:rFonts w:ascii="Garamond" w:hAnsi="Garamond" w:cs="TTEDt00"/>
          <w:sz w:val="24"/>
          <w:szCs w:val="24"/>
          <w:lang w:val="en-GB" w:eastAsia="hu-HU"/>
        </w:rPr>
        <w:t xml:space="preserve">The Fundamental Law </w:t>
      </w:r>
      <w:r w:rsidRPr="00DB23AA">
        <w:rPr>
          <w:rFonts w:ascii="Garamond" w:hAnsi="Garamond" w:cs="TTEDt00"/>
          <w:b/>
          <w:sz w:val="24"/>
          <w:szCs w:val="24"/>
          <w:lang w:val="en-GB" w:eastAsia="hu-HU"/>
        </w:rPr>
        <w:t>lowered the mandatory retirement age of judges</w:t>
      </w:r>
      <w:r w:rsidRPr="00DB23AA">
        <w:rPr>
          <w:rFonts w:ascii="Garamond" w:hAnsi="Garamond" w:cs="TTEDt00"/>
          <w:sz w:val="24"/>
          <w:szCs w:val="24"/>
          <w:lang w:val="en-GB" w:eastAsia="hu-HU"/>
        </w:rPr>
        <w:t xml:space="preserve"> to the general retirement age, i.e. from 70 to 62 years as of 1 January 2012. The rule affected approximately 270 judges, including a </w:t>
      </w:r>
      <w:r w:rsidRPr="00DB23AA">
        <w:rPr>
          <w:rFonts w:ascii="Garamond" w:hAnsi="Garamond" w:cs="TTEDt00"/>
          <w:b/>
          <w:sz w:val="24"/>
          <w:szCs w:val="24"/>
          <w:lang w:val="en-GB" w:eastAsia="hu-HU"/>
        </w:rPr>
        <w:t>significant number of judges serving at higher courts and leaders of higher courts</w:t>
      </w:r>
      <w:r w:rsidRPr="00DB23AA">
        <w:rPr>
          <w:rFonts w:ascii="Garamond" w:hAnsi="Garamond" w:cs="TTEDt00"/>
          <w:sz w:val="24"/>
          <w:szCs w:val="24"/>
          <w:lang w:val="en-GB" w:eastAsia="hu-HU"/>
        </w:rPr>
        <w:t xml:space="preserve">, </w:t>
      </w:r>
      <w:r w:rsidRPr="00DB23AA">
        <w:rPr>
          <w:rFonts w:ascii="Garamond" w:hAnsi="Garamond" w:cs="TTEDt00"/>
          <w:b/>
          <w:sz w:val="24"/>
          <w:szCs w:val="24"/>
          <w:lang w:val="en-GB" w:eastAsia="hu-HU"/>
        </w:rPr>
        <w:t>resulting in their dismissal</w:t>
      </w:r>
      <w:r w:rsidRPr="00DB23AA">
        <w:rPr>
          <w:rFonts w:ascii="Garamond" w:hAnsi="Garamond" w:cs="TTEDt00"/>
          <w:sz w:val="24"/>
          <w:szCs w:val="24"/>
          <w:lang w:val="en-GB" w:eastAsia="hu-HU"/>
        </w:rPr>
        <w:t>.</w:t>
      </w:r>
      <w:r w:rsidR="00DB23AA" w:rsidRPr="00DB23AA">
        <w:rPr>
          <w:rFonts w:ascii="Garamond" w:hAnsi="Garamond" w:cs="TTEDt00"/>
          <w:sz w:val="24"/>
          <w:szCs w:val="24"/>
          <w:lang w:val="en-GB" w:eastAsia="hu-HU"/>
        </w:rPr>
        <w:t xml:space="preserve"> </w:t>
      </w:r>
      <w:r w:rsidR="005D31E2">
        <w:rPr>
          <w:rFonts w:ascii="Garamond" w:hAnsi="Garamond" w:cs="TTEDt00"/>
          <w:sz w:val="24"/>
          <w:szCs w:val="24"/>
          <w:lang w:val="en-GB" w:eastAsia="hu-HU"/>
        </w:rPr>
        <w:t>T</w:t>
      </w:r>
      <w:r w:rsidRPr="00DB23AA">
        <w:rPr>
          <w:rFonts w:ascii="Garamond" w:hAnsi="Garamond" w:cs="TTEDt00"/>
          <w:sz w:val="24"/>
          <w:szCs w:val="24"/>
          <w:lang w:val="en-GB" w:eastAsia="hu-HU"/>
        </w:rPr>
        <w:t>he</w:t>
      </w:r>
      <w:r w:rsidR="00DB23AA" w:rsidRPr="00DB23AA">
        <w:rPr>
          <w:rFonts w:ascii="Garamond" w:hAnsi="Garamond" w:cs="TTEDt00"/>
          <w:sz w:val="24"/>
          <w:szCs w:val="24"/>
          <w:lang w:val="en-GB" w:eastAsia="hu-HU"/>
        </w:rPr>
        <w:t xml:space="preserve"> </w:t>
      </w:r>
      <w:r w:rsidR="007B7638" w:rsidRPr="00DB23AA">
        <w:rPr>
          <w:rFonts w:ascii="Garamond" w:hAnsi="Garamond" w:cs="TTEEt00"/>
          <w:sz w:val="24"/>
          <w:szCs w:val="24"/>
          <w:lang w:val="en-GB" w:eastAsia="hu-HU"/>
        </w:rPr>
        <w:t>Court of Justice of the European Union</w:t>
      </w:r>
      <w:r w:rsidRPr="00DB23AA">
        <w:rPr>
          <w:rFonts w:ascii="Garamond" w:hAnsi="Garamond" w:cs="TTEEt00"/>
          <w:sz w:val="24"/>
          <w:szCs w:val="24"/>
          <w:lang w:val="en-GB" w:eastAsia="hu-HU"/>
        </w:rPr>
        <w:t xml:space="preserve"> </w:t>
      </w:r>
      <w:r w:rsidR="00DB23AA" w:rsidRPr="00DB23AA">
        <w:rPr>
          <w:rFonts w:ascii="Garamond" w:hAnsi="Garamond" w:cs="TTEDt00"/>
          <w:sz w:val="24"/>
          <w:szCs w:val="24"/>
          <w:lang w:val="en-GB" w:eastAsia="hu-HU"/>
        </w:rPr>
        <w:t xml:space="preserve">delivered a </w:t>
      </w:r>
      <w:r w:rsidR="007B7638" w:rsidRPr="00DB23AA">
        <w:rPr>
          <w:rFonts w:ascii="Garamond" w:hAnsi="Garamond" w:cs="TTEDt00"/>
          <w:sz w:val="24"/>
          <w:szCs w:val="24"/>
          <w:lang w:val="en-GB" w:eastAsia="hu-HU"/>
        </w:rPr>
        <w:t xml:space="preserve">judgment on </w:t>
      </w:r>
      <w:r w:rsidR="00DB23AA" w:rsidRPr="00DB23AA">
        <w:rPr>
          <w:rFonts w:ascii="Garamond" w:hAnsi="Garamond" w:cs="TTEDt00"/>
          <w:sz w:val="24"/>
          <w:szCs w:val="24"/>
          <w:lang w:val="en-GB" w:eastAsia="hu-HU"/>
        </w:rPr>
        <w:t xml:space="preserve">the matter on </w:t>
      </w:r>
      <w:r w:rsidR="007B7638" w:rsidRPr="00DB23AA">
        <w:rPr>
          <w:rFonts w:ascii="Garamond" w:hAnsi="Garamond" w:cs="TTEDt00"/>
          <w:sz w:val="24"/>
          <w:szCs w:val="24"/>
          <w:lang w:val="en-GB" w:eastAsia="hu-HU"/>
        </w:rPr>
        <w:t>6 November 2012 (</w:t>
      </w:r>
      <w:r w:rsidR="007B7638" w:rsidRPr="00DB23AA">
        <w:rPr>
          <w:rFonts w:ascii="Garamond" w:hAnsi="Garamond" w:cs="TTEEt00"/>
          <w:i/>
          <w:sz w:val="24"/>
          <w:szCs w:val="24"/>
          <w:lang w:val="en-GB" w:eastAsia="hu-HU"/>
        </w:rPr>
        <w:t>Commission v Hungary, C-286/12</w:t>
      </w:r>
      <w:r w:rsidRPr="00DB23AA">
        <w:rPr>
          <w:rFonts w:ascii="Garamond" w:hAnsi="Garamond" w:cs="TTEDt00"/>
          <w:sz w:val="24"/>
          <w:szCs w:val="24"/>
          <w:lang w:val="en-GB" w:eastAsia="hu-HU"/>
        </w:rPr>
        <w:t xml:space="preserve">), </w:t>
      </w:r>
      <w:r w:rsidR="006B1619" w:rsidRPr="00DB23AA">
        <w:rPr>
          <w:rFonts w:ascii="Garamond" w:hAnsi="Garamond" w:cs="TTEDt00"/>
          <w:sz w:val="24"/>
          <w:szCs w:val="24"/>
          <w:lang w:val="en-GB" w:eastAsia="hu-HU"/>
        </w:rPr>
        <w:t>concluding</w:t>
      </w:r>
      <w:r w:rsidR="007B7638" w:rsidRPr="00DB23AA">
        <w:rPr>
          <w:rFonts w:ascii="Garamond" w:hAnsi="Garamond" w:cs="TTEDt00"/>
          <w:sz w:val="24"/>
          <w:szCs w:val="24"/>
          <w:lang w:val="en-GB" w:eastAsia="hu-HU"/>
        </w:rPr>
        <w:t xml:space="preserve"> that </w:t>
      </w:r>
      <w:r w:rsidR="0024489D">
        <w:rPr>
          <w:rFonts w:ascii="Garamond" w:hAnsi="Garamond" w:cs="TTEDt00"/>
          <w:b/>
          <w:sz w:val="24"/>
          <w:szCs w:val="24"/>
          <w:lang w:val="en-GB" w:eastAsia="hu-HU"/>
        </w:rPr>
        <w:t>Hungary has failed to fulfil</w:t>
      </w:r>
      <w:r w:rsidR="007B7638" w:rsidRPr="00DB23AA">
        <w:rPr>
          <w:rFonts w:ascii="Garamond" w:hAnsi="Garamond" w:cs="TTEDt00"/>
          <w:b/>
          <w:sz w:val="24"/>
          <w:szCs w:val="24"/>
          <w:lang w:val="en-GB" w:eastAsia="hu-HU"/>
        </w:rPr>
        <w:t xml:space="preserve"> its obligations under</w:t>
      </w:r>
      <w:r w:rsidR="007B7638" w:rsidRPr="00DB23AA">
        <w:rPr>
          <w:rFonts w:ascii="Garamond" w:hAnsi="Garamond" w:cs="TTEDt00"/>
          <w:sz w:val="24"/>
          <w:szCs w:val="24"/>
          <w:lang w:val="en-GB" w:eastAsia="hu-HU"/>
        </w:rPr>
        <w:t xml:space="preserve"> </w:t>
      </w:r>
      <w:r w:rsidR="007B7638" w:rsidRPr="00DB23AA">
        <w:rPr>
          <w:rFonts w:ascii="Garamond" w:hAnsi="Garamond" w:cs="TTEDt00"/>
          <w:b/>
          <w:sz w:val="24"/>
          <w:szCs w:val="24"/>
          <w:lang w:val="en-GB" w:eastAsia="hu-HU"/>
        </w:rPr>
        <w:t>Council Directive</w:t>
      </w:r>
      <w:r w:rsidRPr="00DB23AA">
        <w:rPr>
          <w:rFonts w:ascii="Garamond" w:hAnsi="Garamond" w:cs="TTEDt00"/>
          <w:b/>
          <w:sz w:val="24"/>
          <w:szCs w:val="24"/>
          <w:lang w:val="en-GB" w:eastAsia="hu-HU"/>
        </w:rPr>
        <w:t xml:space="preserve"> </w:t>
      </w:r>
      <w:r w:rsidR="007B7638" w:rsidRPr="00DB23AA">
        <w:rPr>
          <w:rFonts w:ascii="Garamond" w:hAnsi="Garamond" w:cs="TTEDt00"/>
          <w:b/>
          <w:sz w:val="24"/>
          <w:szCs w:val="24"/>
          <w:lang w:val="en-GB" w:eastAsia="hu-HU"/>
        </w:rPr>
        <w:t>2000/78/EC</w:t>
      </w:r>
      <w:r w:rsidR="007B7638" w:rsidRPr="00DB23AA">
        <w:rPr>
          <w:rFonts w:ascii="Garamond" w:hAnsi="Garamond" w:cs="TTEDt00"/>
          <w:sz w:val="24"/>
          <w:szCs w:val="24"/>
          <w:lang w:val="en-GB" w:eastAsia="hu-HU"/>
        </w:rPr>
        <w:t>.</w:t>
      </w:r>
      <w:r w:rsidRPr="00DB23AA">
        <w:rPr>
          <w:rFonts w:ascii="Garamond" w:hAnsi="Garamond" w:cs="TTEDt00"/>
          <w:sz w:val="24"/>
          <w:szCs w:val="24"/>
          <w:lang w:val="en-GB" w:eastAsia="hu-HU"/>
        </w:rPr>
        <w:t xml:space="preserve"> </w:t>
      </w:r>
      <w:r w:rsidR="00DB23AA" w:rsidRPr="00DB23AA">
        <w:rPr>
          <w:rFonts w:ascii="Garamond" w:hAnsi="Garamond" w:cs="TTEDt00"/>
          <w:sz w:val="24"/>
          <w:szCs w:val="24"/>
          <w:lang w:val="en-GB" w:eastAsia="hu-HU"/>
        </w:rPr>
        <w:t xml:space="preserve">Respective lower level </w:t>
      </w:r>
      <w:r w:rsidR="00DB23AA" w:rsidRPr="00AC2CEA">
        <w:rPr>
          <w:rFonts w:ascii="Garamond" w:hAnsi="Garamond" w:cs="TTEDt00"/>
          <w:sz w:val="24"/>
          <w:szCs w:val="24"/>
          <w:lang w:val="en-GB" w:eastAsia="hu-HU"/>
        </w:rPr>
        <w:t xml:space="preserve">legal provisions were also found unconstitutional by the Constitutional Court in Hungary in July 2012, but this </w:t>
      </w:r>
      <w:r w:rsidR="007B7638" w:rsidRPr="00AC2CEA">
        <w:rPr>
          <w:rFonts w:ascii="Garamond" w:hAnsi="Garamond"/>
          <w:sz w:val="24"/>
          <w:szCs w:val="24"/>
          <w:lang w:val="en-GB"/>
        </w:rPr>
        <w:t xml:space="preserve">decision did not </w:t>
      </w:r>
      <w:r w:rsidR="007B7638" w:rsidRPr="00AC2CEA">
        <w:rPr>
          <w:rFonts w:ascii="Garamond" w:hAnsi="Garamond"/>
          <w:sz w:val="24"/>
          <w:szCs w:val="24"/>
          <w:lang w:val="en-GB"/>
        </w:rPr>
        <w:lastRenderedPageBreak/>
        <w:t>reinstate</w:t>
      </w:r>
      <w:r w:rsidRPr="00AC2CEA">
        <w:rPr>
          <w:rFonts w:ascii="Garamond" w:hAnsi="Garamond" w:cs="TTEDt00"/>
          <w:sz w:val="24"/>
          <w:szCs w:val="24"/>
          <w:lang w:val="en-GB" w:eastAsia="hu-HU"/>
        </w:rPr>
        <w:t xml:space="preserve"> </w:t>
      </w:r>
      <w:r w:rsidR="007B7638" w:rsidRPr="00AC2CEA">
        <w:rPr>
          <w:rFonts w:ascii="Garamond" w:hAnsi="Garamond"/>
          <w:sz w:val="24"/>
          <w:szCs w:val="24"/>
          <w:lang w:val="en-GB"/>
        </w:rPr>
        <w:t xml:space="preserve">the legal relationship of the already dismissed judges. </w:t>
      </w:r>
      <w:r w:rsidR="00DB23AA" w:rsidRPr="00AC2CEA">
        <w:rPr>
          <w:rFonts w:ascii="Garamond" w:hAnsi="Garamond"/>
          <w:sz w:val="24"/>
          <w:szCs w:val="24"/>
          <w:lang w:val="en-GB"/>
        </w:rPr>
        <w:t xml:space="preserve">In order to remedy </w:t>
      </w:r>
      <w:r w:rsidR="00EE61D7">
        <w:rPr>
          <w:rFonts w:ascii="Garamond" w:hAnsi="Garamond"/>
          <w:sz w:val="24"/>
          <w:szCs w:val="24"/>
          <w:lang w:val="en-GB"/>
        </w:rPr>
        <w:t xml:space="preserve">the </w:t>
      </w:r>
      <w:r w:rsidR="007B7638" w:rsidRPr="00AC2CEA">
        <w:rPr>
          <w:rFonts w:ascii="Garamond" w:hAnsi="Garamond"/>
          <w:sz w:val="24"/>
          <w:szCs w:val="24"/>
          <w:lang w:val="en-GB"/>
        </w:rPr>
        <w:t>e</w:t>
      </w:r>
      <w:r w:rsidR="00DB23AA" w:rsidRPr="00AC2CEA">
        <w:rPr>
          <w:rFonts w:ascii="Garamond" w:hAnsi="Garamond"/>
          <w:sz w:val="24"/>
          <w:szCs w:val="24"/>
          <w:lang w:val="en-GB"/>
        </w:rPr>
        <w:t xml:space="preserve">ffect of </w:t>
      </w:r>
      <w:r w:rsidR="007B7638" w:rsidRPr="00AC2CEA">
        <w:rPr>
          <w:rFonts w:ascii="Garamond" w:hAnsi="Garamond"/>
          <w:sz w:val="24"/>
          <w:szCs w:val="24"/>
          <w:lang w:val="en-GB"/>
        </w:rPr>
        <w:t>the unlawful</w:t>
      </w:r>
      <w:r w:rsidRPr="00AC2CEA">
        <w:rPr>
          <w:rFonts w:ascii="Garamond" w:hAnsi="Garamond" w:cs="TTEDt00"/>
          <w:sz w:val="24"/>
          <w:szCs w:val="24"/>
          <w:lang w:val="en-GB" w:eastAsia="hu-HU"/>
        </w:rPr>
        <w:t xml:space="preserve"> </w:t>
      </w:r>
      <w:r w:rsidR="00DB23AA" w:rsidRPr="00AC2CEA">
        <w:rPr>
          <w:rFonts w:ascii="Garamond" w:hAnsi="Garamond"/>
          <w:sz w:val="24"/>
          <w:szCs w:val="24"/>
          <w:lang w:val="en-GB"/>
        </w:rPr>
        <w:t xml:space="preserve">dismissals, </w:t>
      </w:r>
      <w:r w:rsidR="007B7638" w:rsidRPr="00AC2CEA">
        <w:rPr>
          <w:rFonts w:ascii="Garamond" w:hAnsi="Garamond"/>
          <w:sz w:val="24"/>
          <w:szCs w:val="24"/>
          <w:lang w:val="en-GB"/>
        </w:rPr>
        <w:t xml:space="preserve">new legal </w:t>
      </w:r>
      <w:r w:rsidR="0061792E">
        <w:rPr>
          <w:rFonts w:ascii="Garamond" w:hAnsi="Garamond"/>
          <w:sz w:val="24"/>
          <w:szCs w:val="24"/>
          <w:lang w:val="en-GB"/>
        </w:rPr>
        <w:t>provisions</w:t>
      </w:r>
      <w:r w:rsidR="00DB23AA" w:rsidRPr="00AC2CEA">
        <w:rPr>
          <w:rFonts w:ascii="Garamond" w:hAnsi="Garamond"/>
          <w:sz w:val="24"/>
          <w:szCs w:val="24"/>
          <w:lang w:val="en-GB"/>
        </w:rPr>
        <w:t xml:space="preserve"> were adopted</w:t>
      </w:r>
      <w:r w:rsidR="0061792E">
        <w:rPr>
          <w:rFonts w:ascii="Garamond" w:hAnsi="Garamond"/>
          <w:sz w:val="24"/>
          <w:szCs w:val="24"/>
          <w:lang w:val="en-GB"/>
        </w:rPr>
        <w:t xml:space="preserve"> offering </w:t>
      </w:r>
      <w:proofErr w:type="gramStart"/>
      <w:r w:rsidR="0061792E">
        <w:rPr>
          <w:rFonts w:ascii="Garamond" w:hAnsi="Garamond"/>
          <w:sz w:val="24"/>
          <w:szCs w:val="24"/>
          <w:lang w:val="en-GB"/>
        </w:rPr>
        <w:t>judges</w:t>
      </w:r>
      <w:proofErr w:type="gramEnd"/>
      <w:r w:rsidR="0061792E">
        <w:rPr>
          <w:rFonts w:ascii="Garamond" w:hAnsi="Garamond"/>
          <w:sz w:val="24"/>
          <w:szCs w:val="24"/>
          <w:lang w:val="en-GB"/>
        </w:rPr>
        <w:t xml:space="preserve"> compensation or reinstatement into their judicial status</w:t>
      </w:r>
      <w:r w:rsidR="00DB23AA" w:rsidRPr="00AC2CEA">
        <w:rPr>
          <w:rFonts w:ascii="Garamond" w:hAnsi="Garamond"/>
          <w:sz w:val="24"/>
          <w:szCs w:val="24"/>
          <w:lang w:val="en-GB"/>
        </w:rPr>
        <w:t xml:space="preserve">, but </w:t>
      </w:r>
      <w:r w:rsidR="0061792E">
        <w:rPr>
          <w:rFonts w:ascii="Garamond" w:hAnsi="Garamond"/>
          <w:sz w:val="24"/>
          <w:szCs w:val="24"/>
          <w:lang w:val="en-GB"/>
        </w:rPr>
        <w:t>reinstatement into leading administrative positions was not guaranteed</w:t>
      </w:r>
      <w:r w:rsidR="00DB23AA" w:rsidRPr="00AC2CEA">
        <w:rPr>
          <w:rFonts w:ascii="Garamond" w:hAnsi="Garamond"/>
          <w:sz w:val="24"/>
          <w:szCs w:val="24"/>
          <w:lang w:val="en-GB"/>
        </w:rPr>
        <w:t xml:space="preserve">. </w:t>
      </w:r>
      <w:r w:rsidR="006B1619" w:rsidRPr="00AC2CEA">
        <w:rPr>
          <w:rFonts w:ascii="Garamond" w:hAnsi="Garamond" w:cs="Arial"/>
          <w:sz w:val="24"/>
          <w:szCs w:val="24"/>
          <w:lang w:val="en-GB"/>
        </w:rPr>
        <w:t>Thus, b</w:t>
      </w:r>
      <w:r w:rsidRPr="00AC2CEA">
        <w:rPr>
          <w:rFonts w:ascii="Garamond" w:hAnsi="Garamond" w:cs="Arial"/>
          <w:sz w:val="24"/>
          <w:szCs w:val="24"/>
          <w:lang w:val="en-GB"/>
        </w:rPr>
        <w:t xml:space="preserve">y decreasing the mandatory retirement age of judges </w:t>
      </w:r>
      <w:r w:rsidR="006B1619" w:rsidRPr="00AC2CEA">
        <w:rPr>
          <w:rFonts w:ascii="Garamond" w:hAnsi="Garamond" w:cs="Arial"/>
          <w:bCs/>
          <w:sz w:val="24"/>
          <w:szCs w:val="24"/>
          <w:lang w:val="en-GB"/>
        </w:rPr>
        <w:t>the governing majority could</w:t>
      </w:r>
      <w:r w:rsidRPr="00AC2CEA">
        <w:rPr>
          <w:rFonts w:ascii="Garamond" w:hAnsi="Garamond" w:cs="Arial"/>
          <w:b/>
          <w:bCs/>
          <w:sz w:val="24"/>
          <w:szCs w:val="24"/>
          <w:lang w:val="en-GB"/>
        </w:rPr>
        <w:t xml:space="preserve"> replace practically the entire leadership of the judiciary</w:t>
      </w:r>
      <w:r w:rsidRPr="00AC2CEA">
        <w:rPr>
          <w:rFonts w:ascii="Garamond" w:hAnsi="Garamond" w:cs="Arial"/>
          <w:sz w:val="24"/>
          <w:szCs w:val="24"/>
          <w:lang w:val="en-GB"/>
        </w:rPr>
        <w:t>.</w:t>
      </w:r>
    </w:p>
    <w:p w:rsidR="00AC2CEA" w:rsidRPr="00EC1900" w:rsidRDefault="00AC2CEA" w:rsidP="00EC1900">
      <w:pPr>
        <w:pStyle w:val="Listaszerbekezds"/>
        <w:numPr>
          <w:ilvl w:val="0"/>
          <w:numId w:val="12"/>
        </w:numPr>
        <w:autoSpaceDE w:val="0"/>
        <w:autoSpaceDN w:val="0"/>
        <w:adjustRightInd w:val="0"/>
        <w:spacing w:before="120" w:after="240" w:line="240" w:lineRule="auto"/>
        <w:ind w:left="714" w:hanging="357"/>
        <w:contextualSpacing w:val="0"/>
        <w:jc w:val="both"/>
        <w:rPr>
          <w:rFonts w:ascii="Garamond" w:hAnsi="Garamond"/>
          <w:sz w:val="24"/>
          <w:szCs w:val="24"/>
          <w:lang w:val="en-GB"/>
        </w:rPr>
      </w:pPr>
      <w:r w:rsidRPr="00AC2CEA">
        <w:rPr>
          <w:rFonts w:ascii="Garamond" w:hAnsi="Garamond" w:cs="Arial"/>
          <w:color w:val="000000"/>
          <w:sz w:val="24"/>
          <w:szCs w:val="24"/>
          <w:lang w:val="en-GB"/>
        </w:rPr>
        <w:t xml:space="preserve">The </w:t>
      </w:r>
      <w:r w:rsidR="00B82BBD" w:rsidRPr="00AC2CEA">
        <w:rPr>
          <w:rFonts w:ascii="Garamond" w:hAnsi="Garamond" w:cs="Arial"/>
          <w:color w:val="000000"/>
          <w:sz w:val="24"/>
          <w:szCs w:val="24"/>
          <w:lang w:val="en-GB"/>
        </w:rPr>
        <w:t>President o</w:t>
      </w:r>
      <w:r w:rsidRPr="00AC2CEA">
        <w:rPr>
          <w:rFonts w:ascii="Garamond" w:hAnsi="Garamond" w:cs="Arial"/>
          <w:color w:val="000000"/>
          <w:sz w:val="24"/>
          <w:szCs w:val="24"/>
          <w:lang w:val="en-GB"/>
        </w:rPr>
        <w:t xml:space="preserve">f the </w:t>
      </w:r>
      <w:r w:rsidR="00EC1900">
        <w:rPr>
          <w:rFonts w:ascii="Garamond" w:hAnsi="Garamond" w:cs="Arial"/>
          <w:color w:val="000000"/>
          <w:sz w:val="24"/>
          <w:szCs w:val="24"/>
          <w:lang w:val="en-GB"/>
        </w:rPr>
        <w:t xml:space="preserve">NJO </w:t>
      </w:r>
      <w:r w:rsidRPr="00AC2CEA">
        <w:rPr>
          <w:rFonts w:ascii="Garamond" w:hAnsi="Garamond" w:cs="Arial"/>
          <w:color w:val="000000"/>
          <w:sz w:val="24"/>
          <w:szCs w:val="24"/>
          <w:lang w:val="en-GB"/>
        </w:rPr>
        <w:t xml:space="preserve">was vested with the right </w:t>
      </w:r>
      <w:r w:rsidRPr="00AC2CEA">
        <w:rPr>
          <w:rFonts w:ascii="Garamond" w:hAnsi="Garamond" w:cs="Arial"/>
          <w:b/>
          <w:sz w:val="24"/>
          <w:szCs w:val="24"/>
          <w:lang w:val="en-GB"/>
        </w:rPr>
        <w:t>to appoint another court to proceed</w:t>
      </w:r>
      <w:r w:rsidR="00E16364">
        <w:rPr>
          <w:rFonts w:ascii="Garamond" w:hAnsi="Garamond" w:cs="Arial"/>
          <w:b/>
          <w:sz w:val="24"/>
          <w:szCs w:val="24"/>
          <w:lang w:val="en-GB"/>
        </w:rPr>
        <w:t xml:space="preserve"> in a given case (i.e. transfer/</w:t>
      </w:r>
      <w:r w:rsidRPr="00AC2CEA">
        <w:rPr>
          <w:rFonts w:ascii="Garamond" w:hAnsi="Garamond" w:cs="Arial"/>
          <w:b/>
          <w:sz w:val="24"/>
          <w:szCs w:val="24"/>
          <w:lang w:val="en-GB"/>
        </w:rPr>
        <w:t>reassign hand-picked cases to a hand-picked court)</w:t>
      </w:r>
      <w:r w:rsidR="00E16364">
        <w:rPr>
          <w:rFonts w:ascii="Garamond" w:hAnsi="Garamond" w:cs="Arial"/>
          <w:sz w:val="24"/>
          <w:szCs w:val="24"/>
          <w:lang w:val="en-GB"/>
        </w:rPr>
        <w:t xml:space="preserve"> by referring to the caseload </w:t>
      </w:r>
      <w:r w:rsidR="00EE61D7">
        <w:rPr>
          <w:rFonts w:ascii="Garamond" w:hAnsi="Garamond" w:cs="Arial"/>
          <w:sz w:val="24"/>
          <w:szCs w:val="24"/>
          <w:lang w:val="en-GB"/>
        </w:rPr>
        <w:t xml:space="preserve">of the original </w:t>
      </w:r>
      <w:r w:rsidR="00E16364" w:rsidRPr="00E16364">
        <w:rPr>
          <w:rFonts w:ascii="Garamond" w:hAnsi="Garamond" w:cs="Arial"/>
          <w:sz w:val="24"/>
          <w:szCs w:val="24"/>
          <w:lang w:val="en-GB"/>
        </w:rPr>
        <w:t>court</w:t>
      </w:r>
      <w:r w:rsidR="00E16364">
        <w:rPr>
          <w:rFonts w:ascii="Garamond" w:hAnsi="Garamond" w:cs="Arial"/>
          <w:sz w:val="24"/>
          <w:szCs w:val="24"/>
          <w:lang w:val="en-GB"/>
        </w:rPr>
        <w:t xml:space="preserve">, </w:t>
      </w:r>
      <w:r w:rsidRPr="00AC2CEA">
        <w:rPr>
          <w:rFonts w:ascii="Garamond" w:hAnsi="Garamond" w:cs="Arial"/>
          <w:sz w:val="24"/>
          <w:szCs w:val="24"/>
          <w:lang w:val="en-GB"/>
        </w:rPr>
        <w:t xml:space="preserve">which resulted in the controversial </w:t>
      </w:r>
      <w:r w:rsidRPr="00EC1900">
        <w:rPr>
          <w:rFonts w:ascii="Garamond" w:hAnsi="Garamond" w:cs="Arial"/>
          <w:b/>
          <w:sz w:val="24"/>
          <w:szCs w:val="24"/>
          <w:lang w:val="en-GB"/>
        </w:rPr>
        <w:t>transfer of also politically high-profile cases</w:t>
      </w:r>
      <w:r w:rsidRPr="00AC2CEA">
        <w:rPr>
          <w:rFonts w:ascii="Garamond" w:hAnsi="Garamond" w:cs="Arial"/>
          <w:sz w:val="24"/>
          <w:szCs w:val="24"/>
          <w:lang w:val="en-GB"/>
        </w:rPr>
        <w:t xml:space="preserve">. The </w:t>
      </w:r>
      <w:r w:rsidR="00EC1900">
        <w:rPr>
          <w:rFonts w:ascii="Garamond" w:hAnsi="Garamond" w:cs="Arial"/>
          <w:sz w:val="24"/>
          <w:szCs w:val="24"/>
          <w:lang w:val="en-GB"/>
        </w:rPr>
        <w:t xml:space="preserve">system of </w:t>
      </w:r>
      <w:r w:rsidRPr="00AC2CEA">
        <w:rPr>
          <w:rFonts w:ascii="Garamond" w:hAnsi="Garamond" w:cs="Arial"/>
          <w:sz w:val="24"/>
          <w:szCs w:val="24"/>
          <w:lang w:val="en-GB"/>
        </w:rPr>
        <w:t>transfer</w:t>
      </w:r>
      <w:r w:rsidR="00EC1900">
        <w:rPr>
          <w:rFonts w:ascii="Garamond" w:hAnsi="Garamond" w:cs="Arial"/>
          <w:sz w:val="24"/>
          <w:szCs w:val="24"/>
          <w:lang w:val="en-GB"/>
        </w:rPr>
        <w:t>ring</w:t>
      </w:r>
      <w:r w:rsidRPr="00AC2CEA">
        <w:rPr>
          <w:rFonts w:ascii="Garamond" w:hAnsi="Garamond" w:cs="Arial"/>
          <w:sz w:val="24"/>
          <w:szCs w:val="24"/>
          <w:lang w:val="en-GB"/>
        </w:rPr>
        <w:t xml:space="preserve"> cases was strongly criticized</w:t>
      </w:r>
      <w:r>
        <w:rPr>
          <w:rFonts w:ascii="Garamond" w:hAnsi="Garamond" w:cs="Arial"/>
          <w:sz w:val="24"/>
          <w:szCs w:val="24"/>
          <w:lang w:val="en-GB"/>
        </w:rPr>
        <w:t xml:space="preserve"> both by the Venice Commission</w:t>
      </w:r>
      <w:r w:rsidRPr="00AC2CEA">
        <w:rPr>
          <w:rFonts w:ascii="Garamond" w:hAnsi="Garamond" w:cs="Arial"/>
          <w:sz w:val="24"/>
          <w:szCs w:val="24"/>
          <w:lang w:val="en-GB"/>
        </w:rPr>
        <w:t xml:space="preserve"> </w:t>
      </w:r>
      <w:r w:rsidR="00EC1900">
        <w:rPr>
          <w:rFonts w:ascii="Garamond" w:hAnsi="Garamond" w:cs="Arial"/>
          <w:sz w:val="24"/>
          <w:szCs w:val="24"/>
          <w:lang w:val="en-GB"/>
        </w:rPr>
        <w:t xml:space="preserve">and the </w:t>
      </w:r>
      <w:r w:rsidR="00EC1900" w:rsidRPr="00EC1900">
        <w:rPr>
          <w:rFonts w:ascii="Garamond" w:hAnsi="Garamond" w:cs="Arial"/>
          <w:sz w:val="24"/>
          <w:szCs w:val="24"/>
        </w:rPr>
        <w:t>Monitoring Committee of the Parliamentary Assembly of the Council of Europe</w:t>
      </w:r>
      <w:r w:rsidR="00EC1900">
        <w:rPr>
          <w:rFonts w:ascii="Garamond" w:hAnsi="Garamond" w:cs="Arial"/>
          <w:sz w:val="24"/>
          <w:szCs w:val="24"/>
        </w:rPr>
        <w:t xml:space="preserve"> for violating the right to fair trial, and respective legal provisions were found unconstitutional by the Constitutional Court of Hungary. The possibility of transferring cases was </w:t>
      </w:r>
      <w:r w:rsidR="00E16364">
        <w:rPr>
          <w:rFonts w:ascii="Garamond" w:hAnsi="Garamond" w:cs="Arial"/>
          <w:sz w:val="24"/>
          <w:szCs w:val="24"/>
        </w:rPr>
        <w:t xml:space="preserve">finally </w:t>
      </w:r>
      <w:r w:rsidR="00EC1900">
        <w:rPr>
          <w:rFonts w:ascii="Garamond" w:hAnsi="Garamond" w:cs="Arial"/>
          <w:sz w:val="24"/>
          <w:szCs w:val="24"/>
        </w:rPr>
        <w:t>abolished in its previous form in 2013, h</w:t>
      </w:r>
      <w:r w:rsidR="00EC1900" w:rsidRPr="00EC1900">
        <w:rPr>
          <w:rFonts w:ascii="Garamond" w:hAnsi="Garamond"/>
          <w:sz w:val="24"/>
          <w:szCs w:val="24"/>
        </w:rPr>
        <w:t xml:space="preserve">owever, no solution or remedy was offered for the violation </w:t>
      </w:r>
      <w:r w:rsidR="00EC1900" w:rsidRPr="00EC1900">
        <w:rPr>
          <w:rFonts w:ascii="Garamond" w:hAnsi="Garamond"/>
          <w:bCs/>
          <w:sz w:val="24"/>
          <w:szCs w:val="24"/>
        </w:rPr>
        <w:t>of the principle of the lawful judge</w:t>
      </w:r>
      <w:r w:rsidR="00EC1900" w:rsidRPr="00EC1900">
        <w:rPr>
          <w:rFonts w:ascii="Garamond" w:hAnsi="Garamond"/>
          <w:sz w:val="24"/>
          <w:szCs w:val="24"/>
        </w:rPr>
        <w:t xml:space="preserve"> in cases which were already transferred by the President of the NJO earlier on.</w:t>
      </w:r>
    </w:p>
    <w:p w:rsidR="00E16364" w:rsidRDefault="00BB1E0B" w:rsidP="00E16364">
      <w:pPr>
        <w:autoSpaceDE w:val="0"/>
        <w:autoSpaceDN w:val="0"/>
        <w:adjustRightInd w:val="0"/>
        <w:spacing w:before="120" w:after="120" w:line="240" w:lineRule="auto"/>
        <w:jc w:val="both"/>
        <w:rPr>
          <w:rFonts w:ascii="Garamond" w:hAnsi="Garamond" w:cs="TTE1BFD5A0t00"/>
          <w:sz w:val="24"/>
          <w:szCs w:val="24"/>
          <w:lang w:val="en-GB" w:eastAsia="hu-HU"/>
        </w:rPr>
      </w:pPr>
      <w:r>
        <w:rPr>
          <w:rFonts w:ascii="Garamond" w:hAnsi="Garamond" w:cs="TTE1BFD5A0t00"/>
          <w:sz w:val="24"/>
          <w:szCs w:val="24"/>
          <w:lang w:val="en-GB" w:eastAsia="hu-HU"/>
        </w:rPr>
        <w:t>2</w:t>
      </w:r>
      <w:r w:rsidR="00E16364">
        <w:rPr>
          <w:rFonts w:ascii="Garamond" w:hAnsi="Garamond" w:cs="TTE1BFD5A0t00"/>
          <w:sz w:val="24"/>
          <w:szCs w:val="24"/>
          <w:lang w:val="en-GB" w:eastAsia="hu-HU"/>
        </w:rPr>
        <w:t xml:space="preserve">. </w:t>
      </w:r>
      <w:r w:rsidR="00E16364" w:rsidRPr="00E16364">
        <w:rPr>
          <w:rFonts w:ascii="Garamond" w:hAnsi="Garamond" w:cs="TTE1BFD5A0t00"/>
          <w:sz w:val="24"/>
          <w:szCs w:val="24"/>
          <w:u w:val="single"/>
          <w:lang w:val="en-GB" w:eastAsia="hu-HU"/>
        </w:rPr>
        <w:t xml:space="preserve">Changes in the Ombudsperson system; premature dismissal of </w:t>
      </w:r>
      <w:r w:rsidR="00D07A3D">
        <w:rPr>
          <w:rFonts w:ascii="Garamond" w:hAnsi="Garamond" w:cs="TTE1BFD5A0t00"/>
          <w:sz w:val="24"/>
          <w:szCs w:val="24"/>
          <w:u w:val="single"/>
          <w:lang w:val="en-GB" w:eastAsia="hu-HU"/>
        </w:rPr>
        <w:t xml:space="preserve">the </w:t>
      </w:r>
      <w:r w:rsidR="00E16364" w:rsidRPr="00E16364">
        <w:rPr>
          <w:rFonts w:ascii="Garamond" w:hAnsi="Garamond" w:cs="TTE1BFD5A0t00"/>
          <w:sz w:val="24"/>
          <w:szCs w:val="24"/>
          <w:u w:val="single"/>
          <w:lang w:val="en-GB" w:eastAsia="hu-HU"/>
        </w:rPr>
        <w:t>Data Protection Commissioner</w:t>
      </w:r>
    </w:p>
    <w:p w:rsidR="00E16364" w:rsidRPr="00E16364" w:rsidRDefault="00EC1900" w:rsidP="00E16364">
      <w:pPr>
        <w:pStyle w:val="Listaszerbekezds"/>
        <w:numPr>
          <w:ilvl w:val="0"/>
          <w:numId w:val="40"/>
        </w:numPr>
        <w:autoSpaceDE w:val="0"/>
        <w:autoSpaceDN w:val="0"/>
        <w:adjustRightInd w:val="0"/>
        <w:spacing w:before="120" w:after="120" w:line="240" w:lineRule="auto"/>
        <w:ind w:left="714" w:hanging="357"/>
        <w:contextualSpacing w:val="0"/>
        <w:jc w:val="both"/>
        <w:rPr>
          <w:rFonts w:ascii="Garamond" w:hAnsi="Garamond" w:cs="Arial"/>
          <w:sz w:val="24"/>
          <w:szCs w:val="24"/>
          <w:lang w:val="en-GB"/>
        </w:rPr>
      </w:pPr>
      <w:r w:rsidRPr="00E16364">
        <w:rPr>
          <w:rFonts w:ascii="Garamond" w:hAnsi="Garamond" w:cs="TTE1BFD5A0t00"/>
          <w:sz w:val="24"/>
          <w:szCs w:val="24"/>
          <w:lang w:val="en-GB" w:eastAsia="hu-HU"/>
        </w:rPr>
        <w:t>As a result of the Fundamental Law, t</w:t>
      </w:r>
      <w:r w:rsidR="005C6520" w:rsidRPr="00E16364">
        <w:rPr>
          <w:rFonts w:ascii="Garamond" w:hAnsi="Garamond" w:cs="TTE1BFD5A0t00"/>
          <w:sz w:val="24"/>
          <w:szCs w:val="24"/>
          <w:lang w:val="en-GB" w:eastAsia="hu-HU"/>
        </w:rPr>
        <w:t xml:space="preserve">he former </w:t>
      </w:r>
      <w:r w:rsidR="005C6520" w:rsidRPr="00E16364">
        <w:rPr>
          <w:rFonts w:ascii="Garamond" w:hAnsi="Garamond" w:cs="Arial"/>
          <w:sz w:val="24"/>
          <w:szCs w:val="24"/>
          <w:lang w:val="en-GB"/>
        </w:rPr>
        <w:t xml:space="preserve">four Ombudspersons (Parliamentary Commissioners) have been replaced </w:t>
      </w:r>
      <w:r w:rsidRPr="00E16364">
        <w:rPr>
          <w:rFonts w:ascii="Garamond" w:hAnsi="Garamond" w:cs="Arial"/>
          <w:sz w:val="24"/>
          <w:szCs w:val="24"/>
          <w:lang w:val="en-GB"/>
        </w:rPr>
        <w:t>by the sole Commissioner for Fundamental Rights</w:t>
      </w:r>
      <w:r w:rsidR="00E16364">
        <w:rPr>
          <w:rFonts w:ascii="Garamond" w:hAnsi="Garamond" w:cs="Arial"/>
          <w:sz w:val="24"/>
          <w:szCs w:val="24"/>
          <w:lang w:val="en-GB"/>
        </w:rPr>
        <w:t xml:space="preserve">, </w:t>
      </w:r>
      <w:r w:rsidR="00E16364" w:rsidRPr="00E16364">
        <w:rPr>
          <w:rFonts w:ascii="Garamond" w:hAnsi="Garamond" w:cs="Arial"/>
          <w:sz w:val="24"/>
          <w:szCs w:val="24"/>
          <w:lang w:val="en-GB"/>
        </w:rPr>
        <w:t>which decreases the level of protection in relation to certain rights</w:t>
      </w:r>
      <w:r w:rsidR="00E16364">
        <w:rPr>
          <w:rFonts w:ascii="Garamond" w:hAnsi="Garamond" w:cs="Arial"/>
          <w:sz w:val="24"/>
          <w:szCs w:val="24"/>
          <w:lang w:val="en-GB"/>
        </w:rPr>
        <w:t xml:space="preserve">. The mandate of three of the Ombudspersons </w:t>
      </w:r>
      <w:r w:rsidR="00E16364" w:rsidRPr="00E16364">
        <w:rPr>
          <w:rFonts w:ascii="Garamond" w:hAnsi="Garamond" w:cs="Arial"/>
          <w:sz w:val="24"/>
          <w:szCs w:val="24"/>
          <w:lang w:val="en-GB"/>
        </w:rPr>
        <w:t>was terminated before the end of the</w:t>
      </w:r>
      <w:r w:rsidR="00EE61D7">
        <w:rPr>
          <w:rFonts w:ascii="Garamond" w:hAnsi="Garamond" w:cs="Arial"/>
          <w:sz w:val="24"/>
          <w:szCs w:val="24"/>
          <w:lang w:val="en-GB"/>
        </w:rPr>
        <w:t>ir</w:t>
      </w:r>
      <w:r w:rsidR="00E16364" w:rsidRPr="00E16364">
        <w:rPr>
          <w:rFonts w:ascii="Garamond" w:hAnsi="Garamond" w:cs="Arial"/>
          <w:sz w:val="24"/>
          <w:szCs w:val="24"/>
          <w:lang w:val="en-GB"/>
        </w:rPr>
        <w:t xml:space="preserve"> fixed term of office</w:t>
      </w:r>
      <w:r w:rsidR="00E16364">
        <w:rPr>
          <w:rFonts w:ascii="Garamond" w:hAnsi="Garamond" w:cs="Arial"/>
          <w:sz w:val="24"/>
          <w:szCs w:val="24"/>
          <w:lang w:val="en-GB"/>
        </w:rPr>
        <w:t>, as of 1 January 2012</w:t>
      </w:r>
      <w:r w:rsidR="00E16364" w:rsidRPr="00E16364">
        <w:rPr>
          <w:rFonts w:ascii="Garamond" w:hAnsi="Garamond" w:cs="Arial"/>
          <w:sz w:val="24"/>
          <w:szCs w:val="24"/>
          <w:lang w:val="en-GB"/>
        </w:rPr>
        <w:t>.</w:t>
      </w:r>
    </w:p>
    <w:p w:rsidR="0024489D" w:rsidRPr="0024489D" w:rsidRDefault="00E16364" w:rsidP="0024489D">
      <w:pPr>
        <w:pStyle w:val="Listaszerbekezds"/>
        <w:numPr>
          <w:ilvl w:val="0"/>
          <w:numId w:val="40"/>
        </w:numPr>
        <w:autoSpaceDE w:val="0"/>
        <w:autoSpaceDN w:val="0"/>
        <w:adjustRightInd w:val="0"/>
        <w:spacing w:before="120" w:after="120" w:line="240" w:lineRule="auto"/>
        <w:ind w:left="714" w:hanging="357"/>
        <w:contextualSpacing w:val="0"/>
        <w:jc w:val="both"/>
        <w:rPr>
          <w:rFonts w:ascii="Garamond" w:hAnsi="Garamond"/>
          <w:sz w:val="24"/>
          <w:szCs w:val="24"/>
          <w:lang w:val="en-GB"/>
        </w:rPr>
      </w:pPr>
      <w:r w:rsidRPr="00E16364">
        <w:rPr>
          <w:rFonts w:ascii="Garamond" w:hAnsi="Garamond"/>
          <w:sz w:val="24"/>
          <w:szCs w:val="24"/>
          <w:lang w:val="en-GB"/>
        </w:rPr>
        <w:t xml:space="preserve">The tasks of the Data Protection Commissioner were undertaken by the newly established </w:t>
      </w:r>
      <w:r w:rsidRPr="00E16364">
        <w:rPr>
          <w:rFonts w:ascii="Garamond" w:hAnsi="Garamond"/>
          <w:b/>
          <w:sz w:val="24"/>
          <w:szCs w:val="24"/>
          <w:lang w:val="en-GB"/>
        </w:rPr>
        <w:t>National Authority for Data Protection and Freedom of Information</w:t>
      </w:r>
      <w:r>
        <w:rPr>
          <w:rFonts w:ascii="Garamond" w:hAnsi="Garamond" w:cs="Arial"/>
          <w:sz w:val="24"/>
          <w:szCs w:val="24"/>
          <w:lang w:val="en-GB"/>
        </w:rPr>
        <w:t>, which</w:t>
      </w:r>
      <w:r w:rsidR="00E83399">
        <w:rPr>
          <w:rFonts w:ascii="Garamond" w:hAnsi="Garamond" w:cs="Arial"/>
          <w:sz w:val="24"/>
          <w:szCs w:val="24"/>
          <w:lang w:val="en-GB"/>
        </w:rPr>
        <w:t xml:space="preserve"> is an administrative body and</w:t>
      </w:r>
      <w:r w:rsidR="00EC1900" w:rsidRPr="00E16364">
        <w:rPr>
          <w:rFonts w:ascii="Garamond" w:hAnsi="Garamond" w:cs="MyriadPro-Regular"/>
          <w:sz w:val="24"/>
          <w:szCs w:val="24"/>
          <w:lang w:val="en-GB" w:eastAsia="hu-HU"/>
        </w:rPr>
        <w:t xml:space="preserve"> </w:t>
      </w:r>
      <w:r w:rsidR="00EC1900" w:rsidRPr="00E16364">
        <w:rPr>
          <w:rFonts w:ascii="Garamond" w:hAnsi="Garamond" w:cs="MyriadPro-Regular"/>
          <w:b/>
          <w:sz w:val="24"/>
          <w:szCs w:val="24"/>
          <w:lang w:val="en-GB" w:eastAsia="hu-HU"/>
        </w:rPr>
        <w:t>does not comply with the requirement of independence</w:t>
      </w:r>
      <w:r w:rsidRPr="00E16364">
        <w:rPr>
          <w:rFonts w:ascii="Garamond" w:hAnsi="Garamond" w:cs="Arial"/>
          <w:sz w:val="24"/>
          <w:szCs w:val="24"/>
          <w:lang w:val="en-GB"/>
        </w:rPr>
        <w:t>.</w:t>
      </w:r>
      <w:r w:rsidR="00E83399">
        <w:rPr>
          <w:rFonts w:ascii="Garamond" w:hAnsi="Garamond" w:cs="Arial"/>
          <w:sz w:val="24"/>
          <w:szCs w:val="24"/>
          <w:lang w:val="en-GB"/>
        </w:rPr>
        <w:t xml:space="preserve"> </w:t>
      </w:r>
    </w:p>
    <w:p w:rsidR="00BB1E0B" w:rsidRPr="00BB1E0B" w:rsidRDefault="00E83399" w:rsidP="00BB1E0B">
      <w:pPr>
        <w:pStyle w:val="Listaszerbekezds"/>
        <w:numPr>
          <w:ilvl w:val="0"/>
          <w:numId w:val="40"/>
        </w:numPr>
        <w:autoSpaceDE w:val="0"/>
        <w:autoSpaceDN w:val="0"/>
        <w:adjustRightInd w:val="0"/>
        <w:spacing w:before="120" w:after="240" w:line="240" w:lineRule="auto"/>
        <w:ind w:left="714" w:hanging="357"/>
        <w:contextualSpacing w:val="0"/>
        <w:jc w:val="both"/>
        <w:rPr>
          <w:rFonts w:ascii="Garamond" w:hAnsi="Garamond"/>
          <w:sz w:val="24"/>
          <w:szCs w:val="24"/>
          <w:lang w:val="en-GB"/>
        </w:rPr>
      </w:pPr>
      <w:r w:rsidRPr="0024489D">
        <w:rPr>
          <w:rFonts w:ascii="Garamond" w:hAnsi="Garamond" w:cs="Arial"/>
          <w:sz w:val="24"/>
          <w:szCs w:val="24"/>
          <w:lang w:val="en-GB"/>
        </w:rPr>
        <w:t xml:space="preserve">The issue of abolishing the institution of the </w:t>
      </w:r>
      <w:r w:rsidRPr="0024489D">
        <w:rPr>
          <w:rFonts w:ascii="Garamond" w:hAnsi="Garamond"/>
          <w:sz w:val="24"/>
          <w:szCs w:val="24"/>
          <w:lang w:val="en-GB"/>
        </w:rPr>
        <w:t xml:space="preserve">Data Protection Commissioner and prematurely terminating the current commissioner’s mandate </w:t>
      </w:r>
      <w:r w:rsidRPr="0024489D">
        <w:rPr>
          <w:rFonts w:ascii="Garamond" w:hAnsi="Garamond" w:cs="Arial"/>
          <w:sz w:val="24"/>
          <w:szCs w:val="24"/>
          <w:lang w:val="en-GB"/>
        </w:rPr>
        <w:t xml:space="preserve">was brought before the </w:t>
      </w:r>
      <w:r w:rsidRPr="0024489D">
        <w:rPr>
          <w:rFonts w:ascii="Garamond" w:hAnsi="Garamond" w:cs="Arial"/>
          <w:b/>
          <w:sz w:val="24"/>
          <w:szCs w:val="24"/>
          <w:lang w:val="en-GB"/>
        </w:rPr>
        <w:t>Court of Justice of the European Union</w:t>
      </w:r>
      <w:r w:rsidR="00EE61D7">
        <w:rPr>
          <w:rFonts w:ascii="Garamond" w:hAnsi="Garamond" w:cs="Arial"/>
          <w:sz w:val="24"/>
          <w:szCs w:val="24"/>
          <w:lang w:val="en-GB"/>
        </w:rPr>
        <w:t>, which concluded in April 2014</w:t>
      </w:r>
      <w:r w:rsidRPr="0024489D">
        <w:rPr>
          <w:rFonts w:ascii="Garamond" w:hAnsi="Garamond" w:cs="Arial"/>
          <w:sz w:val="24"/>
          <w:szCs w:val="24"/>
          <w:lang w:val="en-GB"/>
        </w:rPr>
        <w:t xml:space="preserve"> that</w:t>
      </w:r>
      <w:r w:rsidRPr="0024489D">
        <w:rPr>
          <w:rFonts w:ascii="Garamond" w:hAnsi="Garamond" w:cs="Arial"/>
          <w:bCs/>
          <w:sz w:val="24"/>
          <w:szCs w:val="24"/>
          <w:lang w:val="en-GB"/>
        </w:rPr>
        <w:t xml:space="preserve"> “by prematurely bringing to an end the term served by the supervisory authority for the protection of personal data, </w:t>
      </w:r>
      <w:r w:rsidRPr="0024489D">
        <w:rPr>
          <w:rFonts w:ascii="Garamond" w:hAnsi="Garamond" w:cs="Arial"/>
          <w:b/>
          <w:bCs/>
          <w:sz w:val="24"/>
          <w:szCs w:val="24"/>
          <w:lang w:val="en-GB"/>
        </w:rPr>
        <w:t>Hungary has failed to fulfil its obligations under Directive 95/46/EC</w:t>
      </w:r>
      <w:r w:rsidRPr="0024489D">
        <w:rPr>
          <w:rFonts w:ascii="Garamond" w:hAnsi="Garamond" w:cs="Arial"/>
          <w:bCs/>
          <w:sz w:val="24"/>
          <w:szCs w:val="24"/>
          <w:lang w:val="en-GB"/>
        </w:rPr>
        <w:t>”</w:t>
      </w:r>
      <w:r w:rsidRPr="0024489D">
        <w:rPr>
          <w:rFonts w:ascii="Garamond" w:hAnsi="Garamond" w:cs="Arial"/>
          <w:b/>
          <w:bCs/>
          <w:sz w:val="24"/>
          <w:szCs w:val="24"/>
          <w:lang w:val="en-GB"/>
        </w:rPr>
        <w:t xml:space="preserve"> </w:t>
      </w:r>
      <w:r w:rsidRPr="0024489D">
        <w:rPr>
          <w:rFonts w:ascii="Garamond" w:hAnsi="Garamond" w:cs="Arial"/>
          <w:bCs/>
          <w:i/>
          <w:sz w:val="24"/>
          <w:szCs w:val="24"/>
          <w:lang w:val="en-GB"/>
        </w:rPr>
        <w:t>(</w:t>
      </w:r>
      <w:r w:rsidR="00F71AC3" w:rsidRPr="00F71AC3">
        <w:rPr>
          <w:rFonts w:ascii="Garamond" w:hAnsi="Garamond" w:cs="Arial"/>
          <w:bCs/>
          <w:sz w:val="24"/>
          <w:szCs w:val="24"/>
          <w:lang w:val="en-GB"/>
        </w:rPr>
        <w:t>see:</w:t>
      </w:r>
      <w:r w:rsidR="00F71AC3">
        <w:rPr>
          <w:rFonts w:ascii="Garamond" w:hAnsi="Garamond" w:cs="Arial"/>
          <w:bCs/>
          <w:i/>
          <w:sz w:val="24"/>
          <w:szCs w:val="24"/>
          <w:lang w:val="en-GB"/>
        </w:rPr>
        <w:t xml:space="preserve"> </w:t>
      </w:r>
      <w:r w:rsidRPr="0024489D">
        <w:rPr>
          <w:rFonts w:ascii="Garamond" w:hAnsi="Garamond" w:cs="Arial"/>
          <w:bCs/>
          <w:i/>
          <w:sz w:val="24"/>
          <w:szCs w:val="24"/>
          <w:lang w:val="en-GB"/>
        </w:rPr>
        <w:t xml:space="preserve">Commission v. Hungary, </w:t>
      </w:r>
      <w:r w:rsidRPr="0024489D">
        <w:rPr>
          <w:rFonts w:ascii="Garamond" w:hAnsi="Garamond" w:cs="Arial"/>
          <w:bCs/>
          <w:i/>
          <w:sz w:val="24"/>
          <w:szCs w:val="24"/>
        </w:rPr>
        <w:t>Case C</w:t>
      </w:r>
      <w:r w:rsidRPr="0024489D">
        <w:rPr>
          <w:rFonts w:ascii="Garamond" w:hAnsi="Garamond" w:cs="Arial"/>
          <w:bCs/>
          <w:i/>
          <w:sz w:val="24"/>
          <w:szCs w:val="24"/>
        </w:rPr>
        <w:noBreakHyphen/>
        <w:t>288/12)</w:t>
      </w:r>
      <w:r w:rsidRPr="0024489D">
        <w:rPr>
          <w:rFonts w:ascii="Garamond" w:hAnsi="Garamond" w:cs="Arial"/>
          <w:bCs/>
          <w:i/>
          <w:sz w:val="24"/>
          <w:szCs w:val="24"/>
          <w:lang w:val="en-GB"/>
        </w:rPr>
        <w:t>.</w:t>
      </w:r>
    </w:p>
    <w:p w:rsidR="008910F6" w:rsidRPr="008910F6" w:rsidRDefault="00D11942" w:rsidP="008910F6">
      <w:pPr>
        <w:pStyle w:val="Listaszerbekezds"/>
        <w:numPr>
          <w:ilvl w:val="0"/>
          <w:numId w:val="1"/>
        </w:numPr>
        <w:autoSpaceDE w:val="0"/>
        <w:autoSpaceDN w:val="0"/>
        <w:adjustRightInd w:val="0"/>
        <w:spacing w:before="120" w:after="240" w:line="240" w:lineRule="auto"/>
        <w:ind w:left="284" w:hanging="284"/>
        <w:contextualSpacing w:val="0"/>
        <w:jc w:val="both"/>
        <w:rPr>
          <w:rFonts w:ascii="Garamond" w:hAnsi="Garamond"/>
          <w:sz w:val="24"/>
          <w:szCs w:val="24"/>
          <w:lang w:val="en-GB"/>
        </w:rPr>
      </w:pPr>
      <w:r w:rsidRPr="00BB1E0B">
        <w:rPr>
          <w:rFonts w:ascii="Garamond" w:hAnsi="Garamond" w:cs="Arial"/>
          <w:sz w:val="24"/>
          <w:szCs w:val="24"/>
          <w:lang w:val="en-GB"/>
        </w:rPr>
        <w:t>Amendments adopted in 2010 allowed for the</w:t>
      </w:r>
      <w:r w:rsidR="0024489D" w:rsidRPr="00BB1E0B">
        <w:rPr>
          <w:rFonts w:ascii="Garamond" w:hAnsi="Garamond" w:cs="Arial"/>
          <w:sz w:val="24"/>
          <w:szCs w:val="24"/>
          <w:lang w:val="en-GB"/>
        </w:rPr>
        <w:t xml:space="preserve"> </w:t>
      </w:r>
      <w:r w:rsidR="005C6520" w:rsidRPr="00BB1E0B">
        <w:rPr>
          <w:rFonts w:ascii="Garamond" w:hAnsi="Garamond" w:cs="Arial"/>
          <w:b/>
          <w:sz w:val="24"/>
          <w:szCs w:val="24"/>
          <w:lang w:val="en-GB"/>
        </w:rPr>
        <w:t>dismissal of civil servants without justification, as a result of which thousands of civil servants were fired from the public administration.</w:t>
      </w:r>
      <w:r w:rsidR="005C6520" w:rsidRPr="00BB1E0B">
        <w:rPr>
          <w:rFonts w:ascii="Garamond" w:hAnsi="Garamond" w:cs="Arial"/>
          <w:sz w:val="24"/>
          <w:szCs w:val="24"/>
          <w:lang w:val="en-GB"/>
        </w:rPr>
        <w:t xml:space="preserve"> The rules were held to be unconstitutional by the C</w:t>
      </w:r>
      <w:r w:rsidR="0024489D" w:rsidRPr="00BB1E0B">
        <w:rPr>
          <w:rFonts w:ascii="Garamond" w:hAnsi="Garamond" w:cs="Arial"/>
          <w:sz w:val="24"/>
          <w:szCs w:val="24"/>
          <w:lang w:val="en-GB"/>
        </w:rPr>
        <w:t xml:space="preserve">onstitutional </w:t>
      </w:r>
      <w:r w:rsidR="005C6520" w:rsidRPr="00BB1E0B">
        <w:rPr>
          <w:rFonts w:ascii="Garamond" w:hAnsi="Garamond" w:cs="Arial"/>
          <w:sz w:val="24"/>
          <w:szCs w:val="24"/>
          <w:lang w:val="en-GB"/>
        </w:rPr>
        <w:t>C</w:t>
      </w:r>
      <w:r w:rsidR="0024489D" w:rsidRPr="00BB1E0B">
        <w:rPr>
          <w:rFonts w:ascii="Garamond" w:hAnsi="Garamond" w:cs="Arial"/>
          <w:sz w:val="24"/>
          <w:szCs w:val="24"/>
          <w:lang w:val="en-GB"/>
        </w:rPr>
        <w:t>ourt</w:t>
      </w:r>
      <w:r w:rsidRPr="00BB1E0B">
        <w:rPr>
          <w:rFonts w:ascii="Garamond" w:hAnsi="Garamond" w:cs="Arial"/>
          <w:sz w:val="24"/>
          <w:szCs w:val="24"/>
          <w:lang w:val="en-GB"/>
        </w:rPr>
        <w:t xml:space="preserve"> in February 2011, but </w:t>
      </w:r>
      <w:r w:rsidR="005C6520" w:rsidRPr="00BB1E0B">
        <w:rPr>
          <w:rFonts w:ascii="Garamond" w:hAnsi="Garamond" w:cs="Arial"/>
          <w:sz w:val="24"/>
          <w:szCs w:val="24"/>
          <w:lang w:val="en-GB"/>
        </w:rPr>
        <w:t>were quashed</w:t>
      </w:r>
      <w:r w:rsidR="00F71AC3">
        <w:rPr>
          <w:rFonts w:ascii="Garamond" w:hAnsi="Garamond" w:cs="Arial"/>
          <w:sz w:val="24"/>
          <w:szCs w:val="24"/>
          <w:lang w:val="en-GB"/>
        </w:rPr>
        <w:t xml:space="preserve"> by it only</w:t>
      </w:r>
      <w:r w:rsidR="005C6520" w:rsidRPr="00BB1E0B">
        <w:rPr>
          <w:rFonts w:ascii="Garamond" w:hAnsi="Garamond" w:cs="Arial"/>
          <w:sz w:val="24"/>
          <w:szCs w:val="24"/>
          <w:lang w:val="en-GB"/>
        </w:rPr>
        <w:t xml:space="preserve"> </w:t>
      </w:r>
      <w:r w:rsidR="005C6520" w:rsidRPr="00BB1E0B">
        <w:rPr>
          <w:rFonts w:ascii="Garamond" w:hAnsi="Garamond" w:cs="Arial"/>
          <w:i/>
          <w:sz w:val="24"/>
          <w:szCs w:val="24"/>
          <w:lang w:val="en-GB"/>
        </w:rPr>
        <w:t xml:space="preserve">pro </w:t>
      </w:r>
      <w:r w:rsidR="00F71AC3">
        <w:rPr>
          <w:rFonts w:ascii="Garamond" w:hAnsi="Garamond" w:cs="Arial"/>
          <w:i/>
          <w:sz w:val="24"/>
          <w:szCs w:val="24"/>
          <w:lang w:val="en-GB"/>
        </w:rPr>
        <w:t xml:space="preserve">future, </w:t>
      </w:r>
      <w:r w:rsidR="00F71AC3">
        <w:rPr>
          <w:rFonts w:ascii="Garamond" w:hAnsi="Garamond" w:cs="Arial"/>
          <w:sz w:val="24"/>
          <w:szCs w:val="24"/>
          <w:lang w:val="en-GB"/>
        </w:rPr>
        <w:t xml:space="preserve">as of 30 May 2011, and </w:t>
      </w:r>
      <w:r w:rsidR="0024489D" w:rsidRPr="00BB1E0B">
        <w:rPr>
          <w:rFonts w:ascii="Garamond" w:hAnsi="Garamond" w:cs="Arial"/>
          <w:sz w:val="24"/>
          <w:szCs w:val="24"/>
          <w:lang w:val="en-GB"/>
        </w:rPr>
        <w:t>d</w:t>
      </w:r>
      <w:r w:rsidR="005C6520" w:rsidRPr="00BB1E0B">
        <w:rPr>
          <w:rFonts w:ascii="Garamond" w:hAnsi="Garamond" w:cs="Arial"/>
          <w:sz w:val="24"/>
          <w:szCs w:val="24"/>
          <w:lang w:val="en-GB"/>
        </w:rPr>
        <w:t>ismissals continued even after the ann</w:t>
      </w:r>
      <w:r w:rsidRPr="00BB1E0B">
        <w:rPr>
          <w:rFonts w:ascii="Garamond" w:hAnsi="Garamond" w:cs="Arial"/>
          <w:sz w:val="24"/>
          <w:szCs w:val="24"/>
          <w:lang w:val="en-GB"/>
        </w:rPr>
        <w:t>ouncement of the Constitutional Court’s decision.</w:t>
      </w:r>
      <w:r w:rsidR="00621407" w:rsidRPr="00BB1E0B">
        <w:rPr>
          <w:rFonts w:ascii="Garamond" w:hAnsi="Garamond" w:cs="Arial"/>
          <w:sz w:val="24"/>
          <w:szCs w:val="24"/>
          <w:lang w:val="en-GB"/>
        </w:rPr>
        <w:t xml:space="preserve"> Some civil servants turned to the </w:t>
      </w:r>
      <w:r w:rsidR="00621407" w:rsidRPr="00F71AC3">
        <w:rPr>
          <w:rFonts w:ascii="Garamond" w:hAnsi="Garamond" w:cs="Arial"/>
          <w:b/>
          <w:sz w:val="24"/>
          <w:szCs w:val="24"/>
          <w:lang w:val="en-GB"/>
        </w:rPr>
        <w:t>European Court of Human Rights</w:t>
      </w:r>
      <w:r w:rsidR="00621407" w:rsidRPr="00BB1E0B">
        <w:rPr>
          <w:rFonts w:ascii="Garamond" w:hAnsi="Garamond" w:cs="Arial"/>
          <w:sz w:val="24"/>
          <w:szCs w:val="24"/>
          <w:lang w:val="en-GB"/>
        </w:rPr>
        <w:t xml:space="preserve">, claiming that the amendments </w:t>
      </w:r>
      <w:r w:rsidR="00621407" w:rsidRPr="00BB1E0B">
        <w:rPr>
          <w:rFonts w:ascii="Garamond" w:hAnsi="Garamond"/>
          <w:iCs/>
          <w:sz w:val="24"/>
          <w:szCs w:val="24"/>
          <w:lang w:val="en-GB"/>
        </w:rPr>
        <w:t>effectively deprived them of an effective access to a court in Hungary, because although in theory the employer</w:t>
      </w:r>
      <w:r w:rsidR="00F71AC3">
        <w:rPr>
          <w:rFonts w:ascii="Garamond" w:hAnsi="Garamond"/>
          <w:iCs/>
          <w:sz w:val="24"/>
          <w:szCs w:val="24"/>
          <w:lang w:val="en-GB"/>
        </w:rPr>
        <w:t>s’</w:t>
      </w:r>
      <w:r w:rsidR="00621407" w:rsidRPr="00BB1E0B">
        <w:rPr>
          <w:rFonts w:ascii="Garamond" w:hAnsi="Garamond"/>
          <w:iCs/>
          <w:sz w:val="24"/>
          <w:szCs w:val="24"/>
          <w:lang w:val="en-GB"/>
        </w:rPr>
        <w:t xml:space="preserve"> decision </w:t>
      </w:r>
      <w:r w:rsidR="00F71AC3">
        <w:rPr>
          <w:rFonts w:ascii="Garamond" w:hAnsi="Garamond"/>
          <w:iCs/>
          <w:sz w:val="24"/>
          <w:szCs w:val="24"/>
          <w:lang w:val="en-GB"/>
        </w:rPr>
        <w:t xml:space="preserve">could have </w:t>
      </w:r>
      <w:r w:rsidR="00621407" w:rsidRPr="00BB1E0B">
        <w:rPr>
          <w:rFonts w:ascii="Garamond" w:hAnsi="Garamond"/>
          <w:iCs/>
          <w:sz w:val="24"/>
          <w:szCs w:val="24"/>
          <w:lang w:val="en-GB"/>
        </w:rPr>
        <w:t>be</w:t>
      </w:r>
      <w:r w:rsidR="00F71AC3">
        <w:rPr>
          <w:rFonts w:ascii="Garamond" w:hAnsi="Garamond"/>
          <w:iCs/>
          <w:sz w:val="24"/>
          <w:szCs w:val="24"/>
          <w:lang w:val="en-GB"/>
        </w:rPr>
        <w:t>en</w:t>
      </w:r>
      <w:r w:rsidR="00621407" w:rsidRPr="00BB1E0B">
        <w:rPr>
          <w:rFonts w:ascii="Garamond" w:hAnsi="Garamond"/>
          <w:iCs/>
          <w:sz w:val="24"/>
          <w:szCs w:val="24"/>
          <w:lang w:val="en-GB"/>
        </w:rPr>
        <w:t xml:space="preserve"> challenged before a court, i</w:t>
      </w:r>
      <w:r w:rsidR="00F71AC3">
        <w:rPr>
          <w:rFonts w:ascii="Garamond" w:hAnsi="Garamond"/>
          <w:iCs/>
          <w:sz w:val="24"/>
          <w:szCs w:val="24"/>
          <w:lang w:val="en-GB"/>
        </w:rPr>
        <w:t>n the absence of reasoning it would have been</w:t>
      </w:r>
      <w:r w:rsidR="00621407" w:rsidRPr="00BB1E0B">
        <w:rPr>
          <w:rFonts w:ascii="Garamond" w:hAnsi="Garamond"/>
          <w:iCs/>
          <w:sz w:val="24"/>
          <w:szCs w:val="24"/>
          <w:lang w:val="en-GB"/>
        </w:rPr>
        <w:t xml:space="preserve"> close to impossible to prove that a dismissal was ill-founded. The </w:t>
      </w:r>
      <w:r w:rsidR="009451CC" w:rsidRPr="009451CC">
        <w:rPr>
          <w:rFonts w:ascii="Garamond" w:hAnsi="Garamond"/>
          <w:iCs/>
          <w:sz w:val="24"/>
          <w:szCs w:val="24"/>
          <w:lang w:val="en-GB"/>
        </w:rPr>
        <w:t>Court</w:t>
      </w:r>
      <w:r w:rsidR="00F71AC3">
        <w:rPr>
          <w:rFonts w:ascii="Garamond" w:hAnsi="Garamond"/>
          <w:b/>
          <w:iCs/>
          <w:sz w:val="24"/>
          <w:szCs w:val="24"/>
          <w:lang w:val="en-GB"/>
        </w:rPr>
        <w:t xml:space="preserve"> </w:t>
      </w:r>
      <w:r w:rsidR="00621407" w:rsidRPr="00BB1E0B">
        <w:rPr>
          <w:rFonts w:ascii="Garamond" w:hAnsi="Garamond"/>
          <w:iCs/>
          <w:sz w:val="24"/>
          <w:szCs w:val="24"/>
          <w:lang w:val="en-GB"/>
        </w:rPr>
        <w:t>confirmed these</w:t>
      </w:r>
      <w:r w:rsidR="00F71AC3">
        <w:rPr>
          <w:rFonts w:ascii="Garamond" w:hAnsi="Garamond"/>
          <w:iCs/>
          <w:sz w:val="24"/>
          <w:szCs w:val="24"/>
          <w:lang w:val="en-GB"/>
        </w:rPr>
        <w:t xml:space="preserve"> concerns when concluding in its</w:t>
      </w:r>
      <w:r w:rsidR="00621407" w:rsidRPr="00BB1E0B">
        <w:rPr>
          <w:rFonts w:ascii="Garamond" w:hAnsi="Garamond"/>
          <w:iCs/>
          <w:sz w:val="24"/>
          <w:szCs w:val="24"/>
          <w:lang w:val="en-GB"/>
        </w:rPr>
        <w:t xml:space="preserve"> decision </w:t>
      </w:r>
      <w:r w:rsidR="00F71AC3">
        <w:rPr>
          <w:rFonts w:ascii="Garamond" w:hAnsi="Garamond"/>
          <w:iCs/>
          <w:sz w:val="24"/>
          <w:szCs w:val="24"/>
          <w:lang w:val="en-GB"/>
        </w:rPr>
        <w:t xml:space="preserve">brought </w:t>
      </w:r>
      <w:r w:rsidR="00621407" w:rsidRPr="00BB1E0B">
        <w:rPr>
          <w:rFonts w:ascii="Garamond" w:hAnsi="Garamond"/>
          <w:iCs/>
          <w:sz w:val="24"/>
          <w:szCs w:val="24"/>
          <w:lang w:val="en-GB"/>
        </w:rPr>
        <w:t xml:space="preserve">in the </w:t>
      </w:r>
      <w:r w:rsidRPr="00BB1E0B">
        <w:rPr>
          <w:rFonts w:ascii="Garamond" w:hAnsi="Garamond"/>
          <w:i/>
          <w:iCs/>
          <w:sz w:val="24"/>
          <w:szCs w:val="24"/>
          <w:lang w:val="en-GB"/>
        </w:rPr>
        <w:t>K.M.C. v. Hungary</w:t>
      </w:r>
      <w:r w:rsidRPr="00BB1E0B">
        <w:rPr>
          <w:rFonts w:ascii="Garamond" w:hAnsi="Garamond"/>
          <w:iCs/>
          <w:sz w:val="24"/>
          <w:szCs w:val="24"/>
          <w:lang w:val="en-GB"/>
        </w:rPr>
        <w:t xml:space="preserve"> case</w:t>
      </w:r>
      <w:r w:rsidR="00621407" w:rsidRPr="00BB1E0B">
        <w:rPr>
          <w:rFonts w:ascii="Garamond" w:hAnsi="Garamond"/>
          <w:iCs/>
          <w:sz w:val="24"/>
          <w:szCs w:val="24"/>
          <w:lang w:val="en-GB"/>
        </w:rPr>
        <w:t xml:space="preserve"> </w:t>
      </w:r>
      <w:r w:rsidRPr="00BB1E0B">
        <w:rPr>
          <w:rFonts w:ascii="Garamond" w:hAnsi="Garamond"/>
          <w:iCs/>
          <w:sz w:val="24"/>
          <w:szCs w:val="24"/>
          <w:lang w:val="en-GB"/>
        </w:rPr>
        <w:t xml:space="preserve">that Hungary had </w:t>
      </w:r>
      <w:r w:rsidRPr="00BB1E0B">
        <w:rPr>
          <w:rFonts w:ascii="Garamond" w:hAnsi="Garamond"/>
          <w:b/>
          <w:iCs/>
          <w:sz w:val="24"/>
          <w:szCs w:val="24"/>
          <w:lang w:val="en-GB"/>
        </w:rPr>
        <w:t xml:space="preserve">violated Article 6 of the </w:t>
      </w:r>
      <w:r w:rsidR="00621407" w:rsidRPr="00BB1E0B">
        <w:rPr>
          <w:rFonts w:ascii="Garamond" w:hAnsi="Garamond"/>
          <w:b/>
          <w:iCs/>
          <w:sz w:val="24"/>
          <w:szCs w:val="24"/>
          <w:lang w:val="en-GB"/>
        </w:rPr>
        <w:t xml:space="preserve">European </w:t>
      </w:r>
      <w:r w:rsidRPr="00BB1E0B">
        <w:rPr>
          <w:rFonts w:ascii="Garamond" w:hAnsi="Garamond"/>
          <w:b/>
          <w:iCs/>
          <w:sz w:val="24"/>
          <w:szCs w:val="24"/>
          <w:lang w:val="en-GB"/>
        </w:rPr>
        <w:t>Convention</w:t>
      </w:r>
      <w:r w:rsidR="00621407" w:rsidRPr="00BB1E0B">
        <w:rPr>
          <w:rFonts w:ascii="Garamond" w:hAnsi="Garamond"/>
          <w:b/>
          <w:iCs/>
          <w:sz w:val="24"/>
          <w:szCs w:val="24"/>
          <w:lang w:val="en-GB"/>
        </w:rPr>
        <w:t xml:space="preserve"> on Human Rights</w:t>
      </w:r>
      <w:r w:rsidRPr="00BB1E0B">
        <w:rPr>
          <w:rFonts w:ascii="Garamond" w:hAnsi="Garamond"/>
          <w:iCs/>
          <w:sz w:val="24"/>
          <w:szCs w:val="24"/>
          <w:lang w:val="en-GB"/>
        </w:rPr>
        <w:t xml:space="preserve">. </w:t>
      </w:r>
    </w:p>
    <w:p w:rsidR="00660DB7" w:rsidRPr="008365A9" w:rsidRDefault="00F71AC3" w:rsidP="00AD238C">
      <w:pPr>
        <w:pStyle w:val="Listaszerbekezds"/>
        <w:numPr>
          <w:ilvl w:val="0"/>
          <w:numId w:val="1"/>
        </w:numPr>
        <w:autoSpaceDE w:val="0"/>
        <w:autoSpaceDN w:val="0"/>
        <w:adjustRightInd w:val="0"/>
        <w:spacing w:before="120" w:after="120" w:line="240" w:lineRule="auto"/>
        <w:ind w:left="284" w:hanging="284"/>
        <w:contextualSpacing w:val="0"/>
        <w:jc w:val="both"/>
        <w:rPr>
          <w:rFonts w:ascii="Garamond" w:hAnsi="Garamond"/>
          <w:sz w:val="24"/>
          <w:szCs w:val="24"/>
          <w:lang w:val="en-GB"/>
        </w:rPr>
      </w:pPr>
      <w:r>
        <w:rPr>
          <w:rFonts w:ascii="Garamond" w:hAnsi="Garamond"/>
          <w:sz w:val="24"/>
          <w:szCs w:val="24"/>
          <w:lang w:val="en-GB"/>
        </w:rPr>
        <w:t xml:space="preserve">In the </w:t>
      </w:r>
      <w:r w:rsidR="00BF3812" w:rsidRPr="008365A9">
        <w:rPr>
          <w:rFonts w:ascii="Garamond" w:hAnsi="Garamond"/>
          <w:sz w:val="24"/>
          <w:szCs w:val="24"/>
          <w:lang w:val="en-GB"/>
        </w:rPr>
        <w:t>parliamentary term of the current governing majority</w:t>
      </w:r>
      <w:r>
        <w:rPr>
          <w:rFonts w:ascii="Garamond" w:hAnsi="Garamond"/>
          <w:sz w:val="24"/>
          <w:szCs w:val="24"/>
          <w:lang w:val="en-GB"/>
        </w:rPr>
        <w:t xml:space="preserve"> between 2010 and 2014</w:t>
      </w:r>
      <w:r w:rsidR="00BF3812" w:rsidRPr="008365A9">
        <w:rPr>
          <w:rFonts w:ascii="Garamond" w:hAnsi="Garamond"/>
          <w:sz w:val="24"/>
          <w:szCs w:val="24"/>
          <w:lang w:val="en-GB"/>
        </w:rPr>
        <w:t>, m</w:t>
      </w:r>
      <w:r w:rsidR="005C6520" w:rsidRPr="008365A9">
        <w:rPr>
          <w:rFonts w:ascii="Garamond" w:hAnsi="Garamond"/>
          <w:sz w:val="24"/>
          <w:szCs w:val="24"/>
          <w:lang w:val="en-GB"/>
        </w:rPr>
        <w:t>embers of the National Election Committee</w:t>
      </w:r>
      <w:r w:rsidR="008910F6" w:rsidRPr="008365A9">
        <w:rPr>
          <w:rFonts w:ascii="Garamond" w:hAnsi="Garamond"/>
          <w:sz w:val="24"/>
          <w:szCs w:val="24"/>
          <w:lang w:val="en-GB"/>
        </w:rPr>
        <w:t xml:space="preserve">, </w:t>
      </w:r>
      <w:r w:rsidR="008910F6" w:rsidRPr="008365A9">
        <w:rPr>
          <w:rFonts w:ascii="Garamond" w:hAnsi="Garamond" w:cs="Garamond"/>
          <w:iCs/>
          <w:sz w:val="23"/>
          <w:szCs w:val="23"/>
          <w:lang w:eastAsia="hu-HU"/>
        </w:rPr>
        <w:t>Vice-Presidents of the Hungarian Competition Authority and the Vice-Pre</w:t>
      </w:r>
      <w:r w:rsidR="00BF3812" w:rsidRPr="008365A9">
        <w:rPr>
          <w:rFonts w:ascii="Garamond" w:hAnsi="Garamond" w:cs="Garamond"/>
          <w:iCs/>
          <w:sz w:val="23"/>
          <w:szCs w:val="23"/>
          <w:lang w:eastAsia="hu-HU"/>
        </w:rPr>
        <w:t>s</w:t>
      </w:r>
      <w:r w:rsidR="008910F6" w:rsidRPr="008365A9">
        <w:rPr>
          <w:rFonts w:ascii="Garamond" w:hAnsi="Garamond" w:cs="Garamond"/>
          <w:iCs/>
          <w:sz w:val="23"/>
          <w:szCs w:val="23"/>
          <w:lang w:eastAsia="hu-HU"/>
        </w:rPr>
        <w:t xml:space="preserve">ident of the former Supreme Court </w:t>
      </w:r>
      <w:r w:rsidR="005C6520" w:rsidRPr="008365A9">
        <w:rPr>
          <w:rFonts w:ascii="Garamond" w:hAnsi="Garamond"/>
          <w:sz w:val="24"/>
          <w:szCs w:val="24"/>
          <w:lang w:val="en-GB"/>
        </w:rPr>
        <w:t xml:space="preserve">were </w:t>
      </w:r>
      <w:r>
        <w:rPr>
          <w:rFonts w:ascii="Garamond" w:hAnsi="Garamond"/>
          <w:sz w:val="24"/>
          <w:szCs w:val="24"/>
          <w:lang w:val="en-GB"/>
        </w:rPr>
        <w:t xml:space="preserve">all </w:t>
      </w:r>
      <w:r w:rsidR="005C6520" w:rsidRPr="008365A9">
        <w:rPr>
          <w:rFonts w:ascii="Garamond" w:hAnsi="Garamond"/>
          <w:sz w:val="24"/>
          <w:szCs w:val="24"/>
          <w:lang w:val="en-GB"/>
        </w:rPr>
        <w:t xml:space="preserve">removed before the end of the </w:t>
      </w:r>
      <w:r w:rsidR="008910F6" w:rsidRPr="008365A9">
        <w:rPr>
          <w:rFonts w:ascii="Garamond" w:hAnsi="Garamond"/>
          <w:sz w:val="24"/>
          <w:szCs w:val="24"/>
          <w:lang w:val="en-GB"/>
        </w:rPr>
        <w:t xml:space="preserve">fixed </w:t>
      </w:r>
      <w:r w:rsidR="005C6520" w:rsidRPr="008365A9">
        <w:rPr>
          <w:rFonts w:ascii="Garamond" w:hAnsi="Garamond"/>
          <w:sz w:val="24"/>
          <w:szCs w:val="24"/>
          <w:lang w:val="en-GB"/>
        </w:rPr>
        <w:t>term of their office</w:t>
      </w:r>
      <w:r w:rsidR="008910F6" w:rsidRPr="008365A9">
        <w:rPr>
          <w:rFonts w:ascii="Garamond" w:hAnsi="Garamond"/>
          <w:sz w:val="24"/>
          <w:szCs w:val="24"/>
          <w:lang w:val="en-GB"/>
        </w:rPr>
        <w:t xml:space="preserve"> by law</w:t>
      </w:r>
      <w:r w:rsidR="005C6520" w:rsidRPr="008365A9">
        <w:rPr>
          <w:rFonts w:ascii="Garamond" w:hAnsi="Garamond"/>
          <w:sz w:val="24"/>
          <w:szCs w:val="24"/>
          <w:lang w:val="en-GB"/>
        </w:rPr>
        <w:t xml:space="preserve">. Former members of the </w:t>
      </w:r>
      <w:proofErr w:type="spellStart"/>
      <w:r w:rsidR="005C6520" w:rsidRPr="008365A9">
        <w:rPr>
          <w:rFonts w:ascii="Garamond" w:hAnsi="Garamond"/>
          <w:sz w:val="24"/>
          <w:szCs w:val="24"/>
          <w:lang w:val="en-GB"/>
        </w:rPr>
        <w:t>Fidesz</w:t>
      </w:r>
      <w:proofErr w:type="spellEnd"/>
      <w:r w:rsidR="005C6520" w:rsidRPr="008365A9">
        <w:rPr>
          <w:rFonts w:ascii="Garamond" w:hAnsi="Garamond"/>
          <w:sz w:val="24"/>
          <w:szCs w:val="24"/>
          <w:lang w:val="en-GB"/>
        </w:rPr>
        <w:t xml:space="preserve"> parliamentary group have been ele</w:t>
      </w:r>
      <w:r w:rsidR="00621407" w:rsidRPr="008365A9">
        <w:rPr>
          <w:rFonts w:ascii="Garamond" w:hAnsi="Garamond"/>
          <w:sz w:val="24"/>
          <w:szCs w:val="24"/>
          <w:lang w:val="en-GB"/>
        </w:rPr>
        <w:t>cted as the President of Republic and</w:t>
      </w:r>
      <w:r w:rsidR="005C6520" w:rsidRPr="008365A9">
        <w:rPr>
          <w:rFonts w:ascii="Garamond" w:hAnsi="Garamond"/>
          <w:sz w:val="24"/>
          <w:szCs w:val="24"/>
          <w:lang w:val="en-GB"/>
        </w:rPr>
        <w:t xml:space="preserve"> the</w:t>
      </w:r>
      <w:r w:rsidR="00E417F2" w:rsidRPr="008365A9">
        <w:rPr>
          <w:rFonts w:ascii="Garamond" w:hAnsi="Garamond"/>
          <w:sz w:val="24"/>
          <w:szCs w:val="24"/>
          <w:lang w:val="en-GB"/>
        </w:rPr>
        <w:t xml:space="preserve"> Head of the State Audit Office</w:t>
      </w:r>
      <w:r w:rsidR="005C6520" w:rsidRPr="008365A9">
        <w:rPr>
          <w:rFonts w:ascii="Garamond" w:hAnsi="Garamond"/>
          <w:sz w:val="24"/>
          <w:szCs w:val="24"/>
          <w:lang w:val="en-GB"/>
        </w:rPr>
        <w:t>.</w:t>
      </w:r>
      <w:r w:rsidR="008365A9">
        <w:rPr>
          <w:rFonts w:ascii="Garamond" w:hAnsi="Garamond"/>
          <w:sz w:val="24"/>
          <w:szCs w:val="24"/>
          <w:lang w:val="en-GB"/>
        </w:rPr>
        <w:t xml:space="preserve"> </w:t>
      </w:r>
      <w:r w:rsidR="00A037AE" w:rsidRPr="008365A9">
        <w:rPr>
          <w:rFonts w:ascii="Garamond" w:hAnsi="Garamond"/>
          <w:sz w:val="24"/>
          <w:szCs w:val="24"/>
          <w:lang w:val="en-GB"/>
        </w:rPr>
        <w:br w:type="page"/>
      </w:r>
    </w:p>
    <w:p w:rsidR="00AD238C" w:rsidRPr="009851A8" w:rsidRDefault="00AD238C">
      <w:pPr>
        <w:spacing w:after="0" w:line="240" w:lineRule="auto"/>
        <w:rPr>
          <w:rFonts w:ascii="Garamond" w:hAnsi="Garamond" w:cs="Arial"/>
          <w:smallCaps/>
          <w:sz w:val="24"/>
          <w:szCs w:val="24"/>
          <w:lang w:val="en-GB"/>
        </w:rPr>
      </w:pPr>
    </w:p>
    <w:p w:rsidR="00590B6A" w:rsidRPr="009851A8" w:rsidRDefault="006F0770" w:rsidP="00465B5A">
      <w:pPr>
        <w:spacing w:before="120" w:after="120" w:line="240" w:lineRule="auto"/>
        <w:jc w:val="center"/>
        <w:rPr>
          <w:rFonts w:ascii="Garamond" w:hAnsi="Garamond" w:cs="Arial"/>
          <w:smallCaps/>
          <w:sz w:val="24"/>
          <w:szCs w:val="24"/>
          <w:lang w:val="en-GB"/>
        </w:rPr>
      </w:pPr>
      <w:r>
        <w:rPr>
          <w:rFonts w:ascii="Garamond" w:hAnsi="Garamond" w:cs="Arial"/>
          <w:smallCaps/>
          <w:sz w:val="24"/>
          <w:szCs w:val="24"/>
          <w:lang w:val="en-GB"/>
        </w:rPr>
        <w:t>Hungary Fact Sheet 3</w:t>
      </w:r>
    </w:p>
    <w:p w:rsidR="00A037AE" w:rsidRPr="009851A8" w:rsidRDefault="00590B6A" w:rsidP="00465B5A">
      <w:pPr>
        <w:spacing w:before="120" w:after="120" w:line="240" w:lineRule="auto"/>
        <w:jc w:val="center"/>
        <w:rPr>
          <w:rFonts w:ascii="Garamond" w:hAnsi="Garamond" w:cs="Arial"/>
          <w:smallCaps/>
          <w:sz w:val="24"/>
          <w:szCs w:val="24"/>
          <w:lang w:val="en-GB"/>
        </w:rPr>
      </w:pPr>
      <w:r w:rsidRPr="009851A8">
        <w:rPr>
          <w:rFonts w:ascii="Garamond" w:hAnsi="Garamond" w:cs="Arial"/>
          <w:smallCaps/>
          <w:sz w:val="24"/>
          <w:szCs w:val="24"/>
          <w:lang w:val="en-GB"/>
        </w:rPr>
        <w:t>September 2014</w:t>
      </w:r>
    </w:p>
    <w:p w:rsidR="00A037AE" w:rsidRPr="009851A8" w:rsidRDefault="00782C00" w:rsidP="00465B5A">
      <w:pPr>
        <w:autoSpaceDE w:val="0"/>
        <w:autoSpaceDN w:val="0"/>
        <w:adjustRightInd w:val="0"/>
        <w:spacing w:before="120" w:after="120" w:line="240" w:lineRule="auto"/>
        <w:jc w:val="center"/>
        <w:rPr>
          <w:rFonts w:ascii="Garamond" w:hAnsi="Garamond" w:cs="Garamond-Bold"/>
          <w:b/>
          <w:bCs/>
          <w:smallCaps/>
          <w:sz w:val="28"/>
          <w:szCs w:val="28"/>
          <w:lang w:val="en-GB"/>
        </w:rPr>
      </w:pPr>
      <w:r>
        <w:rPr>
          <w:rFonts w:ascii="Garamond" w:hAnsi="Garamond" w:cs="Garamond-Bold"/>
          <w:b/>
          <w:bCs/>
          <w:smallCaps/>
          <w:sz w:val="28"/>
          <w:szCs w:val="28"/>
          <w:lang w:val="en-GB"/>
        </w:rPr>
        <w:t>The violati</w:t>
      </w:r>
      <w:r w:rsidR="00590B6A" w:rsidRPr="009851A8">
        <w:rPr>
          <w:rFonts w:ascii="Garamond" w:hAnsi="Garamond" w:cs="Garamond-Bold"/>
          <w:b/>
          <w:bCs/>
          <w:smallCaps/>
          <w:sz w:val="28"/>
          <w:szCs w:val="28"/>
          <w:lang w:val="en-GB"/>
        </w:rPr>
        <w:t>on of particular human rights</w:t>
      </w:r>
    </w:p>
    <w:p w:rsidR="00601B29" w:rsidRPr="009851A8" w:rsidRDefault="00601B29" w:rsidP="00465B5A">
      <w:pPr>
        <w:autoSpaceDE w:val="0"/>
        <w:autoSpaceDN w:val="0"/>
        <w:adjustRightInd w:val="0"/>
        <w:spacing w:before="120" w:after="120" w:line="240" w:lineRule="auto"/>
        <w:rPr>
          <w:rFonts w:ascii="Garamond" w:hAnsi="Garamond" w:cs="Garamond-Bold"/>
          <w:b/>
          <w:bCs/>
          <w:smallCaps/>
          <w:sz w:val="28"/>
          <w:szCs w:val="28"/>
          <w:lang w:val="en-GB"/>
        </w:rPr>
      </w:pPr>
    </w:p>
    <w:p w:rsidR="00601B29" w:rsidRPr="009851A8" w:rsidRDefault="00601B29" w:rsidP="0079457F">
      <w:pPr>
        <w:pStyle w:val="Listaszerbekezds"/>
        <w:numPr>
          <w:ilvl w:val="0"/>
          <w:numId w:val="16"/>
        </w:numPr>
        <w:autoSpaceDE w:val="0"/>
        <w:autoSpaceDN w:val="0"/>
        <w:adjustRightInd w:val="0"/>
        <w:spacing w:before="120" w:after="120" w:line="240" w:lineRule="auto"/>
        <w:ind w:left="284" w:hanging="284"/>
        <w:contextualSpacing w:val="0"/>
        <w:jc w:val="both"/>
        <w:rPr>
          <w:rFonts w:ascii="Garamond" w:hAnsi="Garamond"/>
          <w:sz w:val="24"/>
          <w:szCs w:val="24"/>
          <w:lang w:val="en-GB"/>
        </w:rPr>
      </w:pPr>
      <w:r w:rsidRPr="009851A8">
        <w:rPr>
          <w:rFonts w:ascii="Garamond" w:hAnsi="Garamond"/>
          <w:sz w:val="24"/>
          <w:szCs w:val="24"/>
          <w:u w:val="single"/>
          <w:lang w:val="en-GB"/>
        </w:rPr>
        <w:t>Right to liberty</w:t>
      </w:r>
      <w:r w:rsidR="00AD238C" w:rsidRPr="009851A8">
        <w:rPr>
          <w:rFonts w:ascii="Garamond" w:hAnsi="Garamond"/>
          <w:sz w:val="24"/>
          <w:szCs w:val="24"/>
          <w:vertAlign w:val="superscript"/>
          <w:lang w:val="en-GB"/>
        </w:rPr>
        <w:footnoteReference w:id="8"/>
      </w:r>
    </w:p>
    <w:p w:rsidR="00AD238C" w:rsidRPr="009851A8" w:rsidRDefault="00AD238C" w:rsidP="0079457F">
      <w:pPr>
        <w:numPr>
          <w:ilvl w:val="0"/>
          <w:numId w:val="23"/>
        </w:numPr>
        <w:autoSpaceDE w:val="0"/>
        <w:autoSpaceDN w:val="0"/>
        <w:adjustRightInd w:val="0"/>
        <w:spacing w:before="120" w:after="120" w:line="240" w:lineRule="auto"/>
        <w:jc w:val="both"/>
        <w:rPr>
          <w:rFonts w:ascii="Garamond" w:hAnsi="Garamond"/>
          <w:sz w:val="24"/>
          <w:szCs w:val="24"/>
          <w:lang w:val="en-GB"/>
        </w:rPr>
      </w:pPr>
      <w:r w:rsidRPr="009851A8">
        <w:rPr>
          <w:rFonts w:ascii="Garamond" w:hAnsi="Garamond"/>
          <w:sz w:val="24"/>
          <w:szCs w:val="24"/>
          <w:lang w:val="en-GB"/>
        </w:rPr>
        <w:t xml:space="preserve">The Fundamental Law and the Criminal Code provides for the possibility of actual life-long imprisonment, i.e. </w:t>
      </w:r>
      <w:r w:rsidRPr="009851A8">
        <w:rPr>
          <w:rFonts w:ascii="Garamond" w:hAnsi="Garamond"/>
          <w:b/>
          <w:sz w:val="24"/>
          <w:szCs w:val="24"/>
          <w:lang w:val="en-GB"/>
        </w:rPr>
        <w:t>life imprisonment without the possibility of parole</w:t>
      </w:r>
      <w:r w:rsidRPr="009851A8">
        <w:rPr>
          <w:rFonts w:ascii="Garamond" w:hAnsi="Garamond"/>
          <w:sz w:val="24"/>
          <w:szCs w:val="24"/>
          <w:lang w:val="en-GB"/>
        </w:rPr>
        <w:t>, violating Article 3 of the European Convention on Human Rights</w:t>
      </w:r>
      <w:r w:rsidR="0079457F" w:rsidRPr="009851A8">
        <w:rPr>
          <w:rFonts w:ascii="Garamond" w:hAnsi="Garamond"/>
          <w:sz w:val="24"/>
          <w:szCs w:val="24"/>
          <w:lang w:val="en-GB"/>
        </w:rPr>
        <w:t xml:space="preserve"> (see e.g. </w:t>
      </w:r>
      <w:r w:rsidR="00BC0F81">
        <w:rPr>
          <w:rFonts w:ascii="Garamond" w:hAnsi="Garamond"/>
          <w:sz w:val="24"/>
          <w:szCs w:val="24"/>
          <w:lang w:val="en-GB"/>
        </w:rPr>
        <w:t xml:space="preserve">the </w:t>
      </w:r>
      <w:r w:rsidR="0079457F" w:rsidRPr="009851A8">
        <w:rPr>
          <w:rFonts w:ascii="Garamond" w:hAnsi="Garamond"/>
          <w:sz w:val="24"/>
          <w:szCs w:val="24"/>
          <w:lang w:val="en-GB"/>
        </w:rPr>
        <w:t xml:space="preserve">case </w:t>
      </w:r>
      <w:r w:rsidR="0079457F" w:rsidRPr="009851A8">
        <w:rPr>
          <w:rFonts w:ascii="Garamond" w:hAnsi="Garamond"/>
          <w:i/>
          <w:sz w:val="24"/>
          <w:szCs w:val="24"/>
          <w:lang w:val="en-GB"/>
        </w:rPr>
        <w:t>László Magyar v. Hungary</w:t>
      </w:r>
      <w:r w:rsidR="0079457F" w:rsidRPr="009851A8">
        <w:rPr>
          <w:rFonts w:ascii="Garamond" w:hAnsi="Garamond"/>
          <w:sz w:val="24"/>
          <w:szCs w:val="24"/>
          <w:lang w:val="en-GB"/>
        </w:rPr>
        <w:t xml:space="preserve">) </w:t>
      </w:r>
      <w:r w:rsidRPr="009851A8">
        <w:rPr>
          <w:rFonts w:ascii="Garamond" w:hAnsi="Garamond"/>
          <w:sz w:val="24"/>
          <w:szCs w:val="24"/>
          <w:lang w:val="en-GB"/>
        </w:rPr>
        <w:t>and contradicting the respective recommendation of the</w:t>
      </w:r>
      <w:r w:rsidR="0061415F" w:rsidRPr="009851A8">
        <w:rPr>
          <w:rFonts w:ascii="Garamond" w:hAnsi="Garamond"/>
          <w:sz w:val="24"/>
          <w:szCs w:val="24"/>
          <w:lang w:val="en-GB"/>
        </w:rPr>
        <w:t xml:space="preserve"> CPT</w:t>
      </w:r>
      <w:r w:rsidRPr="009851A8">
        <w:rPr>
          <w:rFonts w:ascii="Garamond" w:hAnsi="Garamond"/>
          <w:sz w:val="24"/>
          <w:szCs w:val="24"/>
          <w:vertAlign w:val="superscript"/>
          <w:lang w:val="en-GB"/>
        </w:rPr>
        <w:footnoteReference w:id="9"/>
      </w:r>
      <w:r w:rsidRPr="009851A8">
        <w:rPr>
          <w:rFonts w:ascii="Garamond" w:hAnsi="Garamond"/>
          <w:sz w:val="24"/>
          <w:szCs w:val="24"/>
          <w:lang w:val="en-GB"/>
        </w:rPr>
        <w:t>.</w:t>
      </w:r>
    </w:p>
    <w:p w:rsidR="00AD238C" w:rsidRPr="009851A8" w:rsidRDefault="00AD238C" w:rsidP="0079457F">
      <w:pPr>
        <w:pStyle w:val="Listaszerbekezds"/>
        <w:numPr>
          <w:ilvl w:val="0"/>
          <w:numId w:val="23"/>
        </w:numPr>
        <w:autoSpaceDE w:val="0"/>
        <w:autoSpaceDN w:val="0"/>
        <w:adjustRightInd w:val="0"/>
        <w:spacing w:before="120" w:after="120" w:line="240" w:lineRule="auto"/>
        <w:contextualSpacing w:val="0"/>
        <w:jc w:val="both"/>
        <w:rPr>
          <w:rFonts w:ascii="Garamond" w:hAnsi="Garamond"/>
          <w:sz w:val="24"/>
          <w:szCs w:val="24"/>
          <w:lang w:val="en-GB"/>
        </w:rPr>
      </w:pPr>
      <w:r w:rsidRPr="009851A8">
        <w:rPr>
          <w:rFonts w:ascii="Garamond" w:hAnsi="Garamond"/>
          <w:sz w:val="24"/>
          <w:szCs w:val="24"/>
          <w:lang w:val="en-GB"/>
        </w:rPr>
        <w:t>In November 2013, t</w:t>
      </w:r>
      <w:r w:rsidR="00C8161F" w:rsidRPr="009851A8">
        <w:rPr>
          <w:rFonts w:ascii="Garamond" w:hAnsi="Garamond"/>
          <w:sz w:val="24"/>
          <w:szCs w:val="24"/>
          <w:lang w:val="en-GB"/>
        </w:rPr>
        <w:t xml:space="preserve">he length of </w:t>
      </w:r>
      <w:r w:rsidR="00C8161F" w:rsidRPr="009851A8">
        <w:rPr>
          <w:rFonts w:ascii="Garamond" w:hAnsi="Garamond"/>
          <w:b/>
          <w:sz w:val="24"/>
          <w:szCs w:val="24"/>
          <w:lang w:val="en-GB"/>
        </w:rPr>
        <w:t>pre-trial detention became unlimited</w:t>
      </w:r>
      <w:r w:rsidR="00C8161F" w:rsidRPr="009851A8">
        <w:rPr>
          <w:rFonts w:ascii="Garamond" w:hAnsi="Garamond"/>
          <w:sz w:val="24"/>
          <w:szCs w:val="24"/>
          <w:lang w:val="en-GB"/>
        </w:rPr>
        <w:t xml:space="preserve"> in case the procedure against the defendant is conducted because of a crime punishable by a prison term of up to 15 years or life-long imprisonment, which raises serious concerns in light of the case-law of the European Court of Human Rights.</w:t>
      </w:r>
      <w:r w:rsidR="00C8161F" w:rsidRPr="009851A8">
        <w:rPr>
          <w:rFonts w:ascii="Garamond" w:hAnsi="Garamond"/>
          <w:sz w:val="24"/>
          <w:szCs w:val="24"/>
          <w:vertAlign w:val="superscript"/>
          <w:lang w:val="en-GB"/>
        </w:rPr>
        <w:footnoteReference w:id="10"/>
      </w:r>
    </w:p>
    <w:p w:rsidR="0061415F" w:rsidRPr="009851A8" w:rsidRDefault="0009726E" w:rsidP="0061415F">
      <w:pPr>
        <w:pStyle w:val="Listaszerbekezds"/>
        <w:numPr>
          <w:ilvl w:val="0"/>
          <w:numId w:val="23"/>
        </w:numPr>
        <w:autoSpaceDE w:val="0"/>
        <w:autoSpaceDN w:val="0"/>
        <w:adjustRightInd w:val="0"/>
        <w:spacing w:before="120" w:after="120" w:line="240" w:lineRule="auto"/>
        <w:contextualSpacing w:val="0"/>
        <w:jc w:val="both"/>
        <w:rPr>
          <w:rFonts w:ascii="Garamond" w:hAnsi="Garamond"/>
          <w:sz w:val="24"/>
          <w:szCs w:val="24"/>
          <w:lang w:val="en-GB"/>
        </w:rPr>
      </w:pPr>
      <w:r w:rsidRPr="009851A8">
        <w:rPr>
          <w:rFonts w:ascii="Garamond" w:hAnsi="Garamond"/>
          <w:sz w:val="24"/>
          <w:szCs w:val="24"/>
          <w:lang w:val="en-GB"/>
        </w:rPr>
        <w:t>Since 2010,</w:t>
      </w:r>
      <w:r w:rsidRPr="009851A8">
        <w:rPr>
          <w:rFonts w:ascii="Garamond" w:hAnsi="Garamond"/>
          <w:b/>
          <w:sz w:val="24"/>
          <w:szCs w:val="24"/>
          <w:lang w:val="en-GB"/>
        </w:rPr>
        <w:t xml:space="preserve"> j</w:t>
      </w:r>
      <w:r w:rsidR="00AD238C" w:rsidRPr="009851A8">
        <w:rPr>
          <w:rFonts w:ascii="Garamond" w:hAnsi="Garamond"/>
          <w:b/>
          <w:sz w:val="24"/>
          <w:szCs w:val="24"/>
          <w:lang w:val="en-GB"/>
        </w:rPr>
        <w:t>uveniles may also be taken into confinement for petty offences</w:t>
      </w:r>
      <w:r w:rsidR="00AD238C" w:rsidRPr="009851A8">
        <w:rPr>
          <w:rFonts w:ascii="Garamond" w:hAnsi="Garamond"/>
          <w:sz w:val="24"/>
          <w:szCs w:val="24"/>
          <w:lang w:val="en-GB"/>
        </w:rPr>
        <w:t xml:space="preserve"> up to 45 days and their detention is not applied only as a measure of last resort, which is in breach of </w:t>
      </w:r>
      <w:r w:rsidR="009451CC">
        <w:rPr>
          <w:rFonts w:ascii="Garamond" w:hAnsi="Garamond"/>
          <w:sz w:val="24"/>
          <w:szCs w:val="24"/>
          <w:lang w:val="en-GB"/>
        </w:rPr>
        <w:t xml:space="preserve">the </w:t>
      </w:r>
      <w:r w:rsidR="00AD238C" w:rsidRPr="009851A8">
        <w:rPr>
          <w:rFonts w:ascii="Garamond" w:hAnsi="Garamond"/>
          <w:sz w:val="24"/>
          <w:szCs w:val="24"/>
          <w:lang w:val="en-GB"/>
        </w:rPr>
        <w:t>Conventi</w:t>
      </w:r>
      <w:r w:rsidR="009451CC">
        <w:rPr>
          <w:rFonts w:ascii="Garamond" w:hAnsi="Garamond"/>
          <w:sz w:val="24"/>
          <w:szCs w:val="24"/>
          <w:lang w:val="en-GB"/>
        </w:rPr>
        <w:t>on on the Rights of the Child.</w:t>
      </w:r>
    </w:p>
    <w:p w:rsidR="0079457F" w:rsidRPr="007B7638" w:rsidRDefault="00775899" w:rsidP="00775059">
      <w:pPr>
        <w:pStyle w:val="Listaszerbekezds"/>
        <w:numPr>
          <w:ilvl w:val="0"/>
          <w:numId w:val="23"/>
        </w:numPr>
        <w:autoSpaceDE w:val="0"/>
        <w:autoSpaceDN w:val="0"/>
        <w:adjustRightInd w:val="0"/>
        <w:spacing w:before="120" w:after="240" w:line="240" w:lineRule="auto"/>
        <w:ind w:left="714" w:hanging="357"/>
        <w:contextualSpacing w:val="0"/>
        <w:jc w:val="both"/>
        <w:rPr>
          <w:rFonts w:ascii="Garamond" w:hAnsi="Garamond" w:cs="TTEDt00"/>
          <w:sz w:val="24"/>
          <w:szCs w:val="24"/>
          <w:lang w:val="en-GB" w:eastAsia="hu-HU"/>
        </w:rPr>
      </w:pPr>
      <w:r w:rsidRPr="009851A8">
        <w:rPr>
          <w:rFonts w:ascii="Garamond" w:hAnsi="Garamond"/>
          <w:sz w:val="24"/>
          <w:szCs w:val="24"/>
          <w:lang w:val="en-GB"/>
        </w:rPr>
        <w:t xml:space="preserve">Overruling </w:t>
      </w:r>
      <w:r w:rsidR="0079457F" w:rsidRPr="009851A8">
        <w:rPr>
          <w:rFonts w:ascii="Garamond" w:hAnsi="Garamond"/>
          <w:sz w:val="24"/>
          <w:szCs w:val="24"/>
          <w:lang w:val="en-GB"/>
        </w:rPr>
        <w:t xml:space="preserve">related </w:t>
      </w:r>
      <w:r w:rsidRPr="009851A8">
        <w:rPr>
          <w:rFonts w:ascii="Garamond" w:hAnsi="Garamond"/>
          <w:sz w:val="24"/>
          <w:szCs w:val="24"/>
          <w:lang w:val="en-GB"/>
        </w:rPr>
        <w:t xml:space="preserve">Decision 38/2012. (XI. 14.) </w:t>
      </w:r>
      <w:proofErr w:type="gramStart"/>
      <w:r w:rsidRPr="009851A8">
        <w:rPr>
          <w:rFonts w:ascii="Garamond" w:hAnsi="Garamond"/>
          <w:sz w:val="24"/>
          <w:szCs w:val="24"/>
          <w:lang w:val="en-GB"/>
        </w:rPr>
        <w:t>of</w:t>
      </w:r>
      <w:proofErr w:type="gramEnd"/>
      <w:r w:rsidRPr="009851A8">
        <w:rPr>
          <w:rFonts w:ascii="Garamond" w:hAnsi="Garamond"/>
          <w:sz w:val="24"/>
          <w:szCs w:val="24"/>
          <w:lang w:val="en-GB"/>
        </w:rPr>
        <w:t xml:space="preserve"> the Constitutional Court of Hungary, which stated that</w:t>
      </w:r>
      <w:r w:rsidR="0079457F" w:rsidRPr="009851A8">
        <w:rPr>
          <w:rFonts w:ascii="Garamond" w:hAnsi="Garamond"/>
          <w:sz w:val="24"/>
          <w:szCs w:val="24"/>
          <w:lang w:val="en-GB"/>
        </w:rPr>
        <w:t xml:space="preserve"> criminalizing the status of homelessness is unconstitutional, since it violates human dignity, and despite </w:t>
      </w:r>
      <w:r w:rsidRPr="009851A8">
        <w:rPr>
          <w:rFonts w:ascii="Garamond" w:hAnsi="Garamond"/>
          <w:sz w:val="24"/>
          <w:szCs w:val="24"/>
          <w:lang w:val="en-GB"/>
        </w:rPr>
        <w:t xml:space="preserve">criticism expressed by the UN Special </w:t>
      </w:r>
      <w:proofErr w:type="spellStart"/>
      <w:r w:rsidRPr="009851A8">
        <w:rPr>
          <w:rFonts w:ascii="Garamond" w:hAnsi="Garamond"/>
          <w:sz w:val="24"/>
          <w:szCs w:val="24"/>
          <w:lang w:val="en-GB"/>
        </w:rPr>
        <w:t>Rapporteur</w:t>
      </w:r>
      <w:proofErr w:type="spellEnd"/>
      <w:r w:rsidRPr="009851A8">
        <w:rPr>
          <w:rFonts w:ascii="Garamond" w:hAnsi="Garamond"/>
          <w:sz w:val="24"/>
          <w:szCs w:val="24"/>
          <w:lang w:val="en-GB"/>
        </w:rPr>
        <w:t xml:space="preserve"> on extreme poverty and human rights and the UN Special </w:t>
      </w:r>
      <w:proofErr w:type="spellStart"/>
      <w:r w:rsidRPr="009851A8">
        <w:rPr>
          <w:rFonts w:ascii="Garamond" w:hAnsi="Garamond"/>
          <w:sz w:val="24"/>
          <w:szCs w:val="24"/>
          <w:lang w:val="en-GB"/>
        </w:rPr>
        <w:t>Rapporteur</w:t>
      </w:r>
      <w:proofErr w:type="spellEnd"/>
      <w:r w:rsidRPr="009851A8">
        <w:rPr>
          <w:rFonts w:ascii="Garamond" w:hAnsi="Garamond"/>
          <w:sz w:val="24"/>
          <w:szCs w:val="24"/>
          <w:lang w:val="en-GB"/>
        </w:rPr>
        <w:t xml:space="preserve"> on adequate housing</w:t>
      </w:r>
      <w:r w:rsidR="0061415F" w:rsidRPr="009851A8">
        <w:rPr>
          <w:rFonts w:ascii="Garamond" w:hAnsi="Garamond"/>
          <w:sz w:val="24"/>
          <w:szCs w:val="24"/>
          <w:lang w:val="en-GB"/>
        </w:rPr>
        <w:t>,</w:t>
      </w:r>
      <w:r w:rsidR="0061415F" w:rsidRPr="009851A8">
        <w:rPr>
          <w:rStyle w:val="Lbjegyzet-hivatkozs"/>
          <w:rFonts w:ascii="Garamond" w:hAnsi="Garamond"/>
          <w:sz w:val="24"/>
          <w:szCs w:val="24"/>
          <w:lang w:val="en-GB"/>
        </w:rPr>
        <w:footnoteReference w:id="11"/>
      </w:r>
      <w:r w:rsidR="0079457F" w:rsidRPr="009851A8">
        <w:rPr>
          <w:rFonts w:ascii="Garamond" w:hAnsi="Garamond"/>
          <w:sz w:val="24"/>
          <w:szCs w:val="24"/>
          <w:lang w:val="en-GB"/>
        </w:rPr>
        <w:t xml:space="preserve"> </w:t>
      </w:r>
      <w:r w:rsidRPr="009851A8">
        <w:rPr>
          <w:rFonts w:ascii="Garamond" w:hAnsi="Garamond"/>
          <w:sz w:val="24"/>
          <w:szCs w:val="24"/>
          <w:lang w:val="en-GB"/>
        </w:rPr>
        <w:t xml:space="preserve">the </w:t>
      </w:r>
      <w:r w:rsidRPr="009851A8">
        <w:rPr>
          <w:rFonts w:ascii="Garamond" w:hAnsi="Garamond"/>
          <w:b/>
          <w:sz w:val="24"/>
          <w:szCs w:val="24"/>
          <w:lang w:val="en-GB"/>
        </w:rPr>
        <w:t>Fourth</w:t>
      </w:r>
      <w:r w:rsidR="0061415F" w:rsidRPr="009851A8">
        <w:rPr>
          <w:rFonts w:ascii="Garamond" w:hAnsi="Garamond"/>
          <w:b/>
          <w:sz w:val="24"/>
          <w:szCs w:val="24"/>
          <w:lang w:val="en-GB"/>
        </w:rPr>
        <w:t xml:space="preserve"> Amendment to the Fundamental Law </w:t>
      </w:r>
      <w:r w:rsidR="0061415F" w:rsidRPr="009851A8">
        <w:rPr>
          <w:rFonts w:ascii="Garamond" w:hAnsi="Garamond" w:cs="TTEDt00"/>
          <w:b/>
          <w:sz w:val="24"/>
          <w:szCs w:val="24"/>
          <w:lang w:val="en-GB" w:eastAsia="hu-HU"/>
        </w:rPr>
        <w:t xml:space="preserve">enabled the Parliament or local governments to criminalize homelessness. </w:t>
      </w:r>
      <w:r w:rsidR="0061415F" w:rsidRPr="009851A8">
        <w:rPr>
          <w:rFonts w:ascii="Garamond" w:hAnsi="Garamond" w:cs="TTEDt00"/>
          <w:sz w:val="24"/>
          <w:szCs w:val="24"/>
          <w:lang w:val="en-GB" w:eastAsia="hu-HU"/>
        </w:rPr>
        <w:t>Accordingly, in September</w:t>
      </w:r>
      <w:r w:rsidRPr="009851A8">
        <w:rPr>
          <w:rFonts w:ascii="Garamond" w:hAnsi="Garamond"/>
          <w:sz w:val="24"/>
          <w:szCs w:val="24"/>
          <w:lang w:val="en-GB"/>
        </w:rPr>
        <w:t xml:space="preserve"> </w:t>
      </w:r>
      <w:r w:rsidR="0079457F" w:rsidRPr="009851A8">
        <w:rPr>
          <w:rFonts w:ascii="Garamond" w:hAnsi="Garamond"/>
          <w:sz w:val="24"/>
          <w:szCs w:val="24"/>
          <w:lang w:val="en-GB"/>
        </w:rPr>
        <w:t>2013 the Hungarian Parliament adopted a law which introduced petty offe</w:t>
      </w:r>
      <w:r w:rsidR="0061415F" w:rsidRPr="009851A8">
        <w:rPr>
          <w:rFonts w:ascii="Garamond" w:hAnsi="Garamond"/>
          <w:sz w:val="24"/>
          <w:szCs w:val="24"/>
          <w:lang w:val="en-GB"/>
        </w:rPr>
        <w:t>nces criminalizing homelessness. R</w:t>
      </w:r>
      <w:r w:rsidR="0079457F" w:rsidRPr="009851A8">
        <w:rPr>
          <w:rFonts w:ascii="Garamond" w:hAnsi="Garamond"/>
          <w:sz w:val="24"/>
          <w:szCs w:val="24"/>
          <w:lang w:val="en-GB"/>
        </w:rPr>
        <w:t>ough sleeping</w:t>
      </w:r>
      <w:r w:rsidR="0061415F" w:rsidRPr="009851A8">
        <w:rPr>
          <w:rFonts w:ascii="Garamond" w:hAnsi="Garamond"/>
          <w:sz w:val="24"/>
          <w:szCs w:val="24"/>
          <w:lang w:val="en-GB"/>
        </w:rPr>
        <w:t xml:space="preserve"> became </w:t>
      </w:r>
      <w:r w:rsidR="0079457F" w:rsidRPr="009851A8">
        <w:rPr>
          <w:rFonts w:ascii="Garamond" w:hAnsi="Garamond"/>
          <w:sz w:val="24"/>
          <w:szCs w:val="24"/>
          <w:lang w:val="en-GB"/>
        </w:rPr>
        <w:t>punishable by community work or fine, and, if “committed” for the third time within six months, sh</w:t>
      </w:r>
      <w:r w:rsidR="0061415F" w:rsidRPr="009851A8">
        <w:rPr>
          <w:rFonts w:ascii="Garamond" w:hAnsi="Garamond"/>
          <w:sz w:val="24"/>
          <w:szCs w:val="24"/>
          <w:lang w:val="en-GB"/>
        </w:rPr>
        <w:t>all be punished by confinement</w:t>
      </w:r>
      <w:r w:rsidR="0079457F" w:rsidRPr="009851A8">
        <w:rPr>
          <w:rFonts w:ascii="Garamond" w:hAnsi="Garamond"/>
          <w:sz w:val="24"/>
          <w:szCs w:val="24"/>
          <w:lang w:val="en-GB"/>
        </w:rPr>
        <w:t>.</w:t>
      </w:r>
      <w:r w:rsidR="0079457F" w:rsidRPr="009851A8">
        <w:rPr>
          <w:vertAlign w:val="superscript"/>
          <w:lang w:val="en-GB"/>
        </w:rPr>
        <w:footnoteReference w:id="12"/>
      </w:r>
      <w:r w:rsidR="0009726E" w:rsidRPr="009851A8">
        <w:rPr>
          <w:rFonts w:ascii="Garamond" w:hAnsi="Garamond"/>
          <w:sz w:val="24"/>
          <w:szCs w:val="24"/>
          <w:lang w:val="en-GB"/>
        </w:rPr>
        <w:t xml:space="preserve"> At the same time, the right to housing is not guaranteed by the Fundamental Law</w:t>
      </w:r>
      <w:r w:rsidR="007B7638">
        <w:rPr>
          <w:rFonts w:ascii="Garamond" w:hAnsi="Garamond"/>
          <w:sz w:val="24"/>
          <w:szCs w:val="24"/>
          <w:lang w:val="en-GB"/>
        </w:rPr>
        <w:t>.</w:t>
      </w:r>
    </w:p>
    <w:p w:rsidR="0079457F" w:rsidRPr="009851A8" w:rsidRDefault="00AD238C" w:rsidP="0079457F">
      <w:pPr>
        <w:pStyle w:val="Listaszerbekezds"/>
        <w:numPr>
          <w:ilvl w:val="0"/>
          <w:numId w:val="16"/>
        </w:numPr>
        <w:autoSpaceDE w:val="0"/>
        <w:autoSpaceDN w:val="0"/>
        <w:adjustRightInd w:val="0"/>
        <w:spacing w:before="120" w:after="120" w:line="240" w:lineRule="auto"/>
        <w:ind w:left="284" w:hanging="284"/>
        <w:contextualSpacing w:val="0"/>
        <w:jc w:val="both"/>
        <w:rPr>
          <w:rFonts w:ascii="Garamond" w:hAnsi="Garamond"/>
          <w:sz w:val="24"/>
          <w:szCs w:val="24"/>
          <w:u w:val="single"/>
          <w:lang w:val="en-GB"/>
        </w:rPr>
      </w:pPr>
      <w:r w:rsidRPr="009851A8">
        <w:rPr>
          <w:rFonts w:ascii="Garamond" w:hAnsi="Garamond"/>
          <w:sz w:val="24"/>
          <w:szCs w:val="24"/>
          <w:u w:val="single"/>
          <w:lang w:val="en-GB"/>
        </w:rPr>
        <w:t xml:space="preserve">Freedom of </w:t>
      </w:r>
      <w:r w:rsidR="0079457F" w:rsidRPr="009851A8">
        <w:rPr>
          <w:rFonts w:ascii="Garamond" w:hAnsi="Garamond"/>
          <w:sz w:val="24"/>
          <w:szCs w:val="24"/>
          <w:u w:val="single"/>
          <w:lang w:val="en-GB"/>
        </w:rPr>
        <w:t xml:space="preserve">thought, conscience and </w:t>
      </w:r>
      <w:r w:rsidRPr="009851A8">
        <w:rPr>
          <w:rFonts w:ascii="Garamond" w:hAnsi="Garamond"/>
          <w:sz w:val="24"/>
          <w:szCs w:val="24"/>
          <w:u w:val="single"/>
          <w:lang w:val="en-GB"/>
        </w:rPr>
        <w:t>religion</w:t>
      </w:r>
      <w:r w:rsidR="0079457F" w:rsidRPr="009851A8">
        <w:rPr>
          <w:rFonts w:ascii="Garamond" w:hAnsi="Garamond"/>
          <w:sz w:val="24"/>
          <w:szCs w:val="24"/>
          <w:u w:val="single"/>
          <w:lang w:val="en-GB"/>
        </w:rPr>
        <w:t xml:space="preserve"> – the situation of Hungarian churches</w:t>
      </w:r>
    </w:p>
    <w:p w:rsidR="0079457F" w:rsidRPr="009851A8" w:rsidRDefault="0079457F" w:rsidP="0079457F">
      <w:pPr>
        <w:pStyle w:val="Listaszerbekezds"/>
        <w:autoSpaceDE w:val="0"/>
        <w:autoSpaceDN w:val="0"/>
        <w:adjustRightInd w:val="0"/>
        <w:spacing w:before="120" w:after="120" w:line="240" w:lineRule="auto"/>
        <w:ind w:left="284"/>
        <w:contextualSpacing w:val="0"/>
        <w:jc w:val="both"/>
        <w:rPr>
          <w:rFonts w:ascii="Garamond" w:hAnsi="Garamond"/>
          <w:sz w:val="24"/>
          <w:szCs w:val="24"/>
          <w:lang w:val="en-GB"/>
        </w:rPr>
      </w:pPr>
      <w:r w:rsidRPr="009851A8">
        <w:rPr>
          <w:rFonts w:ascii="Garamond" w:hAnsi="Garamond"/>
          <w:sz w:val="24"/>
          <w:szCs w:val="24"/>
          <w:lang w:val="en-GB"/>
        </w:rPr>
        <w:t>Due to a</w:t>
      </w:r>
      <w:r w:rsidR="00BD0440" w:rsidRPr="009851A8">
        <w:rPr>
          <w:rFonts w:ascii="Garamond" w:hAnsi="Garamond"/>
          <w:sz w:val="24"/>
          <w:szCs w:val="24"/>
          <w:lang w:val="en-GB"/>
        </w:rPr>
        <w:t xml:space="preserve"> new C</w:t>
      </w:r>
      <w:r w:rsidR="00AD238C" w:rsidRPr="009851A8">
        <w:rPr>
          <w:rFonts w:ascii="Garamond" w:hAnsi="Garamond"/>
          <w:sz w:val="24"/>
          <w:szCs w:val="24"/>
          <w:lang w:val="en-GB"/>
        </w:rPr>
        <w:t>h</w:t>
      </w:r>
      <w:r w:rsidR="00BD0440" w:rsidRPr="009851A8">
        <w:rPr>
          <w:rFonts w:ascii="Garamond" w:hAnsi="Garamond"/>
          <w:sz w:val="24"/>
          <w:szCs w:val="24"/>
          <w:lang w:val="en-GB"/>
        </w:rPr>
        <w:t>urch Act</w:t>
      </w:r>
      <w:r w:rsidRPr="009851A8">
        <w:rPr>
          <w:rFonts w:ascii="Garamond" w:hAnsi="Garamond"/>
          <w:sz w:val="24"/>
          <w:szCs w:val="24"/>
          <w:lang w:val="en-GB"/>
        </w:rPr>
        <w:t xml:space="preserve"> adopted in</w:t>
      </w:r>
      <w:r w:rsidR="0061415F" w:rsidRPr="009851A8">
        <w:rPr>
          <w:rFonts w:ascii="Garamond" w:hAnsi="Garamond"/>
          <w:sz w:val="24"/>
          <w:szCs w:val="24"/>
          <w:lang w:val="en-GB"/>
        </w:rPr>
        <w:t xml:space="preserve"> late 2011</w:t>
      </w:r>
      <w:r w:rsidR="00BD0440" w:rsidRPr="009851A8">
        <w:rPr>
          <w:rFonts w:ascii="Garamond" w:hAnsi="Garamond"/>
          <w:sz w:val="24"/>
          <w:szCs w:val="24"/>
          <w:lang w:val="en-GB"/>
        </w:rPr>
        <w:t xml:space="preserve">, many lawfully existing and operating churches in Hungary were forced to go through a re-regulation process, during which the government and </w:t>
      </w:r>
      <w:r w:rsidR="00BD0440" w:rsidRPr="009451CC">
        <w:rPr>
          <w:rFonts w:ascii="Garamond" w:hAnsi="Garamond"/>
          <w:b/>
          <w:sz w:val="24"/>
          <w:szCs w:val="24"/>
          <w:lang w:val="en-GB"/>
        </w:rPr>
        <w:t>the Parliament could decide which churches will be given status as such and receive state subsidie</w:t>
      </w:r>
      <w:r w:rsidR="00BD0440" w:rsidRPr="009851A8">
        <w:rPr>
          <w:rFonts w:ascii="Garamond" w:hAnsi="Garamond"/>
          <w:sz w:val="24"/>
          <w:szCs w:val="24"/>
          <w:lang w:val="en-GB"/>
        </w:rPr>
        <w:t>s. Many churches that were out of favo</w:t>
      </w:r>
      <w:r w:rsidRPr="009851A8">
        <w:rPr>
          <w:rFonts w:ascii="Garamond" w:hAnsi="Garamond"/>
          <w:sz w:val="24"/>
          <w:szCs w:val="24"/>
          <w:lang w:val="en-GB"/>
        </w:rPr>
        <w:t>u</w:t>
      </w:r>
      <w:r w:rsidR="00BD0440" w:rsidRPr="009851A8">
        <w:rPr>
          <w:rFonts w:ascii="Garamond" w:hAnsi="Garamond"/>
          <w:sz w:val="24"/>
          <w:szCs w:val="24"/>
          <w:lang w:val="en-GB"/>
        </w:rPr>
        <w:t>r with the government failed to regain their status as churches. The law was discriminatory and violated the right to freedom of religion.</w:t>
      </w:r>
    </w:p>
    <w:p w:rsidR="0079457F" w:rsidRPr="009851A8" w:rsidRDefault="00BD0440" w:rsidP="0079457F">
      <w:pPr>
        <w:pStyle w:val="Listaszerbekezds"/>
        <w:autoSpaceDE w:val="0"/>
        <w:autoSpaceDN w:val="0"/>
        <w:adjustRightInd w:val="0"/>
        <w:spacing w:before="120" w:after="120" w:line="240" w:lineRule="auto"/>
        <w:ind w:left="284"/>
        <w:contextualSpacing w:val="0"/>
        <w:jc w:val="both"/>
        <w:rPr>
          <w:rFonts w:ascii="Garamond" w:hAnsi="Garamond"/>
          <w:sz w:val="24"/>
          <w:szCs w:val="24"/>
          <w:lang w:val="en-GB"/>
        </w:rPr>
      </w:pPr>
      <w:r w:rsidRPr="009851A8">
        <w:rPr>
          <w:rFonts w:ascii="Garamond" w:hAnsi="Garamond"/>
          <w:sz w:val="24"/>
          <w:szCs w:val="24"/>
          <w:lang w:val="en-GB"/>
        </w:rPr>
        <w:lastRenderedPageBreak/>
        <w:t>The Hungarian Constitutional Court established the unconstitutiona</w:t>
      </w:r>
      <w:r w:rsidR="0079457F" w:rsidRPr="009851A8">
        <w:rPr>
          <w:rFonts w:ascii="Garamond" w:hAnsi="Garamond"/>
          <w:sz w:val="24"/>
          <w:szCs w:val="24"/>
          <w:lang w:val="en-GB"/>
        </w:rPr>
        <w:t>lity of the Church Act in</w:t>
      </w:r>
      <w:r w:rsidR="004F40B3" w:rsidRPr="009851A8">
        <w:rPr>
          <w:rFonts w:ascii="Garamond" w:hAnsi="Garamond"/>
          <w:sz w:val="24"/>
          <w:szCs w:val="24"/>
          <w:lang w:val="en-GB"/>
        </w:rPr>
        <w:t xml:space="preserve"> its Decision 6/2013 (III. 1.) </w:t>
      </w:r>
      <w:proofErr w:type="gramStart"/>
      <w:r w:rsidR="004F40B3" w:rsidRPr="009851A8">
        <w:rPr>
          <w:rFonts w:ascii="Garamond" w:hAnsi="Garamond"/>
          <w:sz w:val="24"/>
          <w:szCs w:val="24"/>
          <w:lang w:val="en-GB"/>
        </w:rPr>
        <w:t>in</w:t>
      </w:r>
      <w:proofErr w:type="gramEnd"/>
      <w:r w:rsidR="004F40B3" w:rsidRPr="009851A8">
        <w:rPr>
          <w:rFonts w:ascii="Garamond" w:hAnsi="Garamond"/>
          <w:sz w:val="24"/>
          <w:szCs w:val="24"/>
          <w:lang w:val="en-GB"/>
        </w:rPr>
        <w:t xml:space="preserve"> March 2013</w:t>
      </w:r>
      <w:r w:rsidRPr="009851A8">
        <w:rPr>
          <w:rFonts w:ascii="Garamond" w:hAnsi="Garamond"/>
          <w:sz w:val="24"/>
          <w:szCs w:val="24"/>
          <w:lang w:val="en-GB"/>
        </w:rPr>
        <w:t>, but instead of initiating legislation that would restore freedom of religion and religious equality, the government pushed ahead with the law by amending the Fundamental Law of Hungary.</w:t>
      </w:r>
    </w:p>
    <w:p w:rsidR="00E821B5" w:rsidRPr="007B7638" w:rsidRDefault="00BD0440" w:rsidP="007B7638">
      <w:pPr>
        <w:pStyle w:val="Listaszerbekezds"/>
        <w:autoSpaceDE w:val="0"/>
        <w:autoSpaceDN w:val="0"/>
        <w:adjustRightInd w:val="0"/>
        <w:spacing w:before="120" w:after="240" w:line="240" w:lineRule="auto"/>
        <w:ind w:left="284"/>
        <w:contextualSpacing w:val="0"/>
        <w:jc w:val="both"/>
        <w:rPr>
          <w:rFonts w:ascii="Garamond" w:hAnsi="Garamond"/>
          <w:sz w:val="24"/>
          <w:szCs w:val="24"/>
          <w:lang w:val="en-GB"/>
        </w:rPr>
      </w:pPr>
      <w:r w:rsidRPr="009851A8">
        <w:rPr>
          <w:rFonts w:ascii="Garamond" w:hAnsi="Garamond"/>
          <w:sz w:val="24"/>
          <w:szCs w:val="24"/>
          <w:lang w:val="en-GB"/>
        </w:rPr>
        <w:t xml:space="preserve">The </w:t>
      </w:r>
      <w:r w:rsidRPr="009851A8">
        <w:rPr>
          <w:rFonts w:ascii="Garamond" w:hAnsi="Garamond"/>
          <w:b/>
          <w:sz w:val="24"/>
          <w:szCs w:val="24"/>
          <w:lang w:val="en-GB"/>
        </w:rPr>
        <w:t>E</w:t>
      </w:r>
      <w:r w:rsidR="0079457F" w:rsidRPr="009851A8">
        <w:rPr>
          <w:rFonts w:ascii="Garamond" w:hAnsi="Garamond"/>
          <w:b/>
          <w:sz w:val="24"/>
          <w:szCs w:val="24"/>
          <w:lang w:val="en-GB"/>
        </w:rPr>
        <w:t xml:space="preserve">uropean </w:t>
      </w:r>
      <w:r w:rsidRPr="009851A8">
        <w:rPr>
          <w:rFonts w:ascii="Garamond" w:hAnsi="Garamond"/>
          <w:b/>
          <w:sz w:val="24"/>
          <w:szCs w:val="24"/>
          <w:lang w:val="en-GB"/>
        </w:rPr>
        <w:t>C</w:t>
      </w:r>
      <w:r w:rsidR="0079457F" w:rsidRPr="009851A8">
        <w:rPr>
          <w:rFonts w:ascii="Garamond" w:hAnsi="Garamond"/>
          <w:b/>
          <w:sz w:val="24"/>
          <w:szCs w:val="24"/>
          <w:lang w:val="en-GB"/>
        </w:rPr>
        <w:t xml:space="preserve">ourt of </w:t>
      </w:r>
      <w:r w:rsidRPr="009851A8">
        <w:rPr>
          <w:rFonts w:ascii="Garamond" w:hAnsi="Garamond"/>
          <w:b/>
          <w:sz w:val="24"/>
          <w:szCs w:val="24"/>
          <w:lang w:val="en-GB"/>
        </w:rPr>
        <w:t>H</w:t>
      </w:r>
      <w:r w:rsidR="0079457F" w:rsidRPr="009851A8">
        <w:rPr>
          <w:rFonts w:ascii="Garamond" w:hAnsi="Garamond"/>
          <w:b/>
          <w:sz w:val="24"/>
          <w:szCs w:val="24"/>
          <w:lang w:val="en-GB"/>
        </w:rPr>
        <w:t xml:space="preserve">uman </w:t>
      </w:r>
      <w:r w:rsidRPr="009851A8">
        <w:rPr>
          <w:rFonts w:ascii="Garamond" w:hAnsi="Garamond"/>
          <w:b/>
          <w:sz w:val="24"/>
          <w:szCs w:val="24"/>
          <w:lang w:val="en-GB"/>
        </w:rPr>
        <w:t>R</w:t>
      </w:r>
      <w:r w:rsidR="0079457F" w:rsidRPr="009851A8">
        <w:rPr>
          <w:rFonts w:ascii="Garamond" w:hAnsi="Garamond"/>
          <w:b/>
          <w:sz w:val="24"/>
          <w:szCs w:val="24"/>
          <w:lang w:val="en-GB"/>
        </w:rPr>
        <w:t>ights</w:t>
      </w:r>
      <w:r w:rsidRPr="009851A8">
        <w:rPr>
          <w:rFonts w:ascii="Garamond" w:hAnsi="Garamond"/>
          <w:sz w:val="24"/>
          <w:szCs w:val="24"/>
          <w:lang w:val="en-GB"/>
        </w:rPr>
        <w:t xml:space="preserve"> rendered </w:t>
      </w:r>
      <w:r w:rsidR="009451CC">
        <w:rPr>
          <w:rFonts w:ascii="Garamond" w:hAnsi="Garamond"/>
          <w:sz w:val="24"/>
          <w:szCs w:val="24"/>
          <w:lang w:val="en-GB"/>
        </w:rPr>
        <w:t xml:space="preserve">a </w:t>
      </w:r>
      <w:r w:rsidRPr="009851A8">
        <w:rPr>
          <w:rFonts w:ascii="Garamond" w:hAnsi="Garamond"/>
          <w:sz w:val="24"/>
          <w:szCs w:val="24"/>
          <w:lang w:val="en-GB"/>
        </w:rPr>
        <w:t xml:space="preserve">judgment in the case </w:t>
      </w:r>
      <w:r w:rsidRPr="009851A8">
        <w:rPr>
          <w:rFonts w:ascii="Garamond" w:hAnsi="Garamond"/>
          <w:i/>
          <w:sz w:val="24"/>
          <w:szCs w:val="24"/>
          <w:lang w:val="en-GB"/>
        </w:rPr>
        <w:t xml:space="preserve">Magyar </w:t>
      </w:r>
      <w:proofErr w:type="spellStart"/>
      <w:r w:rsidRPr="009851A8">
        <w:rPr>
          <w:rFonts w:ascii="Garamond" w:hAnsi="Garamond"/>
          <w:i/>
          <w:sz w:val="24"/>
          <w:szCs w:val="24"/>
          <w:lang w:val="en-GB"/>
        </w:rPr>
        <w:t>Keresztény</w:t>
      </w:r>
      <w:proofErr w:type="spellEnd"/>
      <w:r w:rsidRPr="009851A8">
        <w:rPr>
          <w:rFonts w:ascii="Garamond" w:hAnsi="Garamond"/>
          <w:i/>
          <w:sz w:val="24"/>
          <w:szCs w:val="24"/>
          <w:lang w:val="en-GB"/>
        </w:rPr>
        <w:t xml:space="preserve"> </w:t>
      </w:r>
      <w:proofErr w:type="spellStart"/>
      <w:r w:rsidRPr="009851A8">
        <w:rPr>
          <w:rFonts w:ascii="Garamond" w:hAnsi="Garamond"/>
          <w:i/>
          <w:sz w:val="24"/>
          <w:szCs w:val="24"/>
          <w:lang w:val="en-GB"/>
        </w:rPr>
        <w:t>Mennonita</w:t>
      </w:r>
      <w:proofErr w:type="spellEnd"/>
      <w:r w:rsidRPr="009851A8">
        <w:rPr>
          <w:rFonts w:ascii="Garamond" w:hAnsi="Garamond"/>
          <w:i/>
          <w:sz w:val="24"/>
          <w:szCs w:val="24"/>
          <w:lang w:val="en-GB"/>
        </w:rPr>
        <w:t xml:space="preserve"> </w:t>
      </w:r>
      <w:proofErr w:type="spellStart"/>
      <w:r w:rsidRPr="009851A8">
        <w:rPr>
          <w:rFonts w:ascii="Garamond" w:hAnsi="Garamond"/>
          <w:i/>
          <w:sz w:val="24"/>
          <w:szCs w:val="24"/>
          <w:lang w:val="en-GB"/>
        </w:rPr>
        <w:t>Egyház</w:t>
      </w:r>
      <w:proofErr w:type="spellEnd"/>
      <w:r w:rsidRPr="009851A8">
        <w:rPr>
          <w:rFonts w:ascii="Garamond" w:hAnsi="Garamond"/>
          <w:i/>
          <w:sz w:val="24"/>
          <w:szCs w:val="24"/>
          <w:lang w:val="en-GB"/>
        </w:rPr>
        <w:t xml:space="preserve"> and Others v. Hungary</w:t>
      </w:r>
      <w:r w:rsidRPr="009851A8">
        <w:rPr>
          <w:rFonts w:ascii="Garamond" w:hAnsi="Garamond"/>
          <w:sz w:val="24"/>
          <w:szCs w:val="24"/>
          <w:lang w:val="en-GB"/>
        </w:rPr>
        <w:t xml:space="preserve"> on </w:t>
      </w:r>
      <w:r w:rsidR="009451CC">
        <w:rPr>
          <w:rFonts w:ascii="Garamond" w:hAnsi="Garamond"/>
          <w:sz w:val="24"/>
          <w:szCs w:val="24"/>
          <w:lang w:val="en-GB"/>
        </w:rPr>
        <w:t xml:space="preserve">8 April </w:t>
      </w:r>
      <w:r w:rsidRPr="009851A8">
        <w:rPr>
          <w:rFonts w:ascii="Garamond" w:hAnsi="Garamond"/>
          <w:sz w:val="24"/>
          <w:szCs w:val="24"/>
          <w:lang w:val="en-GB"/>
        </w:rPr>
        <w:t xml:space="preserve">2014, </w:t>
      </w:r>
      <w:r w:rsidRPr="009851A8">
        <w:rPr>
          <w:rFonts w:ascii="Garamond" w:hAnsi="Garamond"/>
          <w:b/>
          <w:sz w:val="24"/>
          <w:szCs w:val="24"/>
          <w:lang w:val="en-GB"/>
        </w:rPr>
        <w:t>determining that the Hungarian Church Act violated the applicant churches’ rights to freedom of thought, conscience and religion and freedom of association</w:t>
      </w:r>
      <w:r w:rsidR="0079457F" w:rsidRPr="009851A8">
        <w:rPr>
          <w:rFonts w:ascii="Garamond" w:hAnsi="Garamond"/>
          <w:sz w:val="24"/>
          <w:szCs w:val="24"/>
          <w:lang w:val="en-GB"/>
        </w:rPr>
        <w:t>. Accor</w:t>
      </w:r>
      <w:r w:rsidR="0061415F" w:rsidRPr="009851A8">
        <w:rPr>
          <w:rFonts w:ascii="Garamond" w:hAnsi="Garamond"/>
          <w:sz w:val="24"/>
          <w:szCs w:val="24"/>
          <w:lang w:val="en-GB"/>
        </w:rPr>
        <w:t>ding to the Court</w:t>
      </w:r>
      <w:r w:rsidR="0079457F" w:rsidRPr="009851A8">
        <w:rPr>
          <w:rFonts w:ascii="Garamond" w:hAnsi="Garamond"/>
          <w:sz w:val="24"/>
          <w:szCs w:val="24"/>
          <w:lang w:val="en-GB"/>
        </w:rPr>
        <w:t>,</w:t>
      </w:r>
      <w:r w:rsidRPr="009851A8">
        <w:rPr>
          <w:rFonts w:ascii="Garamond" w:hAnsi="Garamond"/>
          <w:sz w:val="24"/>
          <w:szCs w:val="24"/>
          <w:lang w:val="en-GB"/>
        </w:rPr>
        <w:t xml:space="preserve"> “in removing the applicants’ church status altogether rather than applying less stringent measures, in establishing a politically tainted re-registration procedure, whose justification is open to doubt as such, and finally, in treating the applicants differently from the incorporated churches not only in the possibilities of cooperation but also in securing benefits for the purposes of faith-related activities, the Hungarian authorities neglected their duty of neutrality.” The Court claimed there was no pressing social need in a democratic society to justify these legislative steps. The decision is final, as the five-judge pane</w:t>
      </w:r>
      <w:r w:rsidR="0079457F" w:rsidRPr="009851A8">
        <w:rPr>
          <w:rFonts w:ascii="Garamond" w:hAnsi="Garamond"/>
          <w:sz w:val="24"/>
          <w:szCs w:val="24"/>
          <w:lang w:val="en-GB"/>
        </w:rPr>
        <w:t>l of the Grand Chamber found no</w:t>
      </w:r>
      <w:r w:rsidRPr="009851A8">
        <w:rPr>
          <w:rFonts w:ascii="Garamond" w:hAnsi="Garamond"/>
          <w:sz w:val="24"/>
          <w:szCs w:val="24"/>
          <w:lang w:val="en-GB"/>
        </w:rPr>
        <w:t xml:space="preserve"> reason to reassess the original verdict.</w:t>
      </w:r>
      <w:r w:rsidR="0079457F" w:rsidRPr="009851A8">
        <w:rPr>
          <w:rFonts w:ascii="Garamond" w:hAnsi="Garamond"/>
          <w:sz w:val="24"/>
          <w:szCs w:val="24"/>
          <w:lang w:val="en-GB"/>
        </w:rPr>
        <w:t xml:space="preserve"> </w:t>
      </w:r>
      <w:r w:rsidRPr="009851A8">
        <w:rPr>
          <w:rFonts w:ascii="Garamond" w:hAnsi="Garamond"/>
          <w:sz w:val="24"/>
          <w:szCs w:val="24"/>
          <w:lang w:val="en-GB"/>
        </w:rPr>
        <w:t>The Hungarian government must now reach an agreement with the applicant churches on the restoration of their status and on just compensation for any damages. If an agreement has not been reac</w:t>
      </w:r>
      <w:r w:rsidR="0009726E" w:rsidRPr="009851A8">
        <w:rPr>
          <w:rFonts w:ascii="Garamond" w:hAnsi="Garamond"/>
          <w:sz w:val="24"/>
          <w:szCs w:val="24"/>
          <w:lang w:val="en-GB"/>
        </w:rPr>
        <w:t>hed within six months, the Court</w:t>
      </w:r>
      <w:r w:rsidRPr="009851A8">
        <w:rPr>
          <w:rFonts w:ascii="Garamond" w:hAnsi="Garamond"/>
          <w:sz w:val="24"/>
          <w:szCs w:val="24"/>
          <w:lang w:val="en-GB"/>
        </w:rPr>
        <w:t xml:space="preserve"> will determine these issues for the parties.</w:t>
      </w:r>
    </w:p>
    <w:p w:rsidR="00AD238C" w:rsidRPr="009851A8" w:rsidRDefault="00AD238C" w:rsidP="00BD4784">
      <w:pPr>
        <w:pStyle w:val="Listaszerbekezds"/>
        <w:numPr>
          <w:ilvl w:val="0"/>
          <w:numId w:val="16"/>
        </w:numPr>
        <w:autoSpaceDE w:val="0"/>
        <w:autoSpaceDN w:val="0"/>
        <w:adjustRightInd w:val="0"/>
        <w:spacing w:before="120" w:after="120" w:line="240" w:lineRule="auto"/>
        <w:ind w:left="284" w:hanging="284"/>
        <w:contextualSpacing w:val="0"/>
        <w:jc w:val="both"/>
        <w:rPr>
          <w:rFonts w:ascii="Garamond" w:hAnsi="Garamond"/>
          <w:sz w:val="24"/>
          <w:szCs w:val="24"/>
          <w:u w:val="single"/>
          <w:lang w:val="en-GB"/>
        </w:rPr>
      </w:pPr>
      <w:r w:rsidRPr="009851A8">
        <w:rPr>
          <w:rFonts w:ascii="Garamond" w:hAnsi="Garamond"/>
          <w:iCs/>
          <w:sz w:val="24"/>
          <w:szCs w:val="24"/>
          <w:u w:val="single"/>
          <w:lang w:val="en-GB"/>
        </w:rPr>
        <w:t>Freedom of expression</w:t>
      </w:r>
      <w:r w:rsidR="0009726E" w:rsidRPr="009851A8">
        <w:rPr>
          <w:rFonts w:ascii="Garamond" w:hAnsi="Garamond"/>
          <w:iCs/>
          <w:sz w:val="24"/>
          <w:szCs w:val="24"/>
          <w:u w:val="single"/>
          <w:lang w:val="en-GB"/>
        </w:rPr>
        <w:t>; freedom of information</w:t>
      </w:r>
    </w:p>
    <w:p w:rsidR="00BD4784" w:rsidRPr="009851A8" w:rsidRDefault="00BD4784" w:rsidP="000536D7">
      <w:pPr>
        <w:pStyle w:val="Listaszerbekezds"/>
        <w:numPr>
          <w:ilvl w:val="0"/>
          <w:numId w:val="26"/>
        </w:numPr>
        <w:spacing w:before="120" w:after="120" w:line="240" w:lineRule="auto"/>
        <w:ind w:left="714" w:hanging="357"/>
        <w:contextualSpacing w:val="0"/>
        <w:jc w:val="both"/>
        <w:rPr>
          <w:rFonts w:ascii="Garamond" w:hAnsi="Garamond" w:cs="TT1B8t00"/>
          <w:sz w:val="24"/>
          <w:szCs w:val="24"/>
          <w:lang w:val="en-GB" w:eastAsia="hu-HU"/>
        </w:rPr>
      </w:pPr>
      <w:r w:rsidRPr="009851A8">
        <w:rPr>
          <w:rFonts w:ascii="Garamond" w:hAnsi="Garamond" w:cs="TT1B8t00"/>
          <w:sz w:val="24"/>
          <w:szCs w:val="24"/>
          <w:lang w:val="en-GB" w:eastAsia="hu-HU"/>
        </w:rPr>
        <w:t xml:space="preserve">The Fundamental </w:t>
      </w:r>
      <w:r w:rsidR="009451CC">
        <w:rPr>
          <w:rFonts w:ascii="Garamond" w:hAnsi="Garamond" w:cs="TT1B8t00"/>
          <w:sz w:val="24"/>
          <w:szCs w:val="24"/>
          <w:lang w:val="en-GB" w:eastAsia="hu-HU"/>
        </w:rPr>
        <w:t>L</w:t>
      </w:r>
      <w:r w:rsidRPr="009851A8">
        <w:rPr>
          <w:rFonts w:ascii="Garamond" w:hAnsi="Garamond" w:cs="TT1B8t00"/>
          <w:sz w:val="24"/>
          <w:szCs w:val="24"/>
          <w:lang w:val="en-GB" w:eastAsia="hu-HU"/>
        </w:rPr>
        <w:t>aw sets out that</w:t>
      </w:r>
      <w:r w:rsidR="000536D7" w:rsidRPr="009851A8">
        <w:rPr>
          <w:rFonts w:ascii="Garamond" w:hAnsi="Garamond" w:cs="TT1B8t00"/>
          <w:sz w:val="24"/>
          <w:szCs w:val="24"/>
          <w:lang w:val="en-GB" w:eastAsia="hu-HU"/>
        </w:rPr>
        <w:t xml:space="preserve"> the right to freedom of speech may not be exercised with the aim of violating the dignity of the Hungarian nation or of any national, ethnic, racial or religious community. </w:t>
      </w:r>
      <w:r w:rsidRPr="009851A8">
        <w:rPr>
          <w:rFonts w:ascii="Garamond" w:hAnsi="Garamond" w:cs="TT1B8t00"/>
          <w:sz w:val="24"/>
          <w:szCs w:val="24"/>
          <w:lang w:val="en-GB" w:eastAsia="hu-HU"/>
        </w:rPr>
        <w:t xml:space="preserve">Thus, the latter </w:t>
      </w:r>
      <w:r w:rsidR="00D85C71" w:rsidRPr="009851A8">
        <w:rPr>
          <w:rFonts w:ascii="Garamond" w:hAnsi="Garamond" w:cs="TT1B8t00"/>
          <w:b/>
          <w:sz w:val="24"/>
          <w:szCs w:val="24"/>
          <w:lang w:val="en-GB" w:eastAsia="hu-HU"/>
        </w:rPr>
        <w:t>groups have dignity just like individuals</w:t>
      </w:r>
      <w:r w:rsidR="00D85C71" w:rsidRPr="009851A8">
        <w:rPr>
          <w:rFonts w:ascii="Garamond" w:hAnsi="Garamond" w:cs="TT1B8t00"/>
          <w:sz w:val="24"/>
          <w:szCs w:val="24"/>
          <w:lang w:val="en-GB" w:eastAsia="hu-HU"/>
        </w:rPr>
        <w:t xml:space="preserve"> and hence they enjoy</w:t>
      </w:r>
      <w:r w:rsidRPr="009851A8">
        <w:rPr>
          <w:rFonts w:ascii="Garamond" w:hAnsi="Garamond" w:cs="TT1B8t00"/>
          <w:sz w:val="24"/>
          <w:szCs w:val="24"/>
          <w:lang w:val="en-GB" w:eastAsia="hu-HU"/>
        </w:rPr>
        <w:t xml:space="preserve"> </w:t>
      </w:r>
      <w:r w:rsidR="00D85C71" w:rsidRPr="009851A8">
        <w:rPr>
          <w:rFonts w:ascii="Garamond" w:hAnsi="Garamond" w:cs="TT1B8t00"/>
          <w:sz w:val="24"/>
          <w:szCs w:val="24"/>
          <w:lang w:val="en-GB" w:eastAsia="hu-HU"/>
        </w:rPr>
        <w:t>special protection against criticism, which is in contradiction with the European Convention on Human Rights</w:t>
      </w:r>
      <w:r w:rsidRPr="009851A8">
        <w:rPr>
          <w:rFonts w:ascii="Garamond" w:hAnsi="Garamond" w:cs="TT1B8t00"/>
          <w:sz w:val="24"/>
          <w:szCs w:val="24"/>
          <w:lang w:val="en-GB" w:eastAsia="hu-HU"/>
        </w:rPr>
        <w:t>.</w:t>
      </w:r>
    </w:p>
    <w:p w:rsidR="00E821B5" w:rsidRPr="007B7638" w:rsidRDefault="004F40B3" w:rsidP="007B7638">
      <w:pPr>
        <w:pStyle w:val="Listaszerbekezds"/>
        <w:numPr>
          <w:ilvl w:val="0"/>
          <w:numId w:val="26"/>
        </w:numPr>
        <w:autoSpaceDE w:val="0"/>
        <w:autoSpaceDN w:val="0"/>
        <w:adjustRightInd w:val="0"/>
        <w:spacing w:before="120" w:after="240" w:line="240" w:lineRule="auto"/>
        <w:ind w:left="714" w:hanging="357"/>
        <w:contextualSpacing w:val="0"/>
        <w:jc w:val="both"/>
        <w:rPr>
          <w:rFonts w:ascii="Garamond" w:eastAsia="Times New Roman" w:hAnsi="Garamond"/>
          <w:sz w:val="24"/>
          <w:szCs w:val="24"/>
          <w:lang w:val="en-GB" w:eastAsia="hu-HU"/>
        </w:rPr>
      </w:pPr>
      <w:r w:rsidRPr="009851A8">
        <w:rPr>
          <w:rFonts w:ascii="Garamond" w:eastAsia="Times New Roman" w:hAnsi="Garamond"/>
          <w:sz w:val="24"/>
          <w:szCs w:val="24"/>
          <w:lang w:val="en-GB" w:eastAsia="hu-HU"/>
        </w:rPr>
        <w:t xml:space="preserve">In June 2013, the </w:t>
      </w:r>
      <w:r w:rsidR="0009726E" w:rsidRPr="009851A8">
        <w:rPr>
          <w:rFonts w:ascii="Garamond" w:eastAsia="Times New Roman" w:hAnsi="Garamond"/>
          <w:sz w:val="24"/>
          <w:szCs w:val="24"/>
          <w:lang w:val="en-GB" w:eastAsia="hu-HU"/>
        </w:rPr>
        <w:t xml:space="preserve">Law on Freedom of Information </w:t>
      </w:r>
      <w:r w:rsidRPr="009851A8">
        <w:rPr>
          <w:rFonts w:ascii="Garamond" w:eastAsia="Times New Roman" w:hAnsi="Garamond"/>
          <w:sz w:val="24"/>
          <w:szCs w:val="24"/>
          <w:lang w:val="en-GB" w:eastAsia="hu-HU"/>
        </w:rPr>
        <w:t xml:space="preserve">was amended in a way </w:t>
      </w:r>
      <w:r w:rsidR="00D132FE" w:rsidRPr="009851A8">
        <w:rPr>
          <w:rFonts w:ascii="Garamond" w:eastAsia="Times New Roman" w:hAnsi="Garamond"/>
          <w:sz w:val="24"/>
          <w:szCs w:val="24"/>
          <w:lang w:val="en-GB" w:eastAsia="hu-HU"/>
        </w:rPr>
        <w:t xml:space="preserve">which </w:t>
      </w:r>
      <w:r w:rsidR="0009726E" w:rsidRPr="009851A8">
        <w:rPr>
          <w:rFonts w:ascii="Garamond" w:eastAsia="Times New Roman" w:hAnsi="Garamond"/>
          <w:b/>
          <w:sz w:val="24"/>
          <w:szCs w:val="24"/>
          <w:lang w:val="en-GB" w:eastAsia="hu-HU"/>
        </w:rPr>
        <w:t>allows state institutions managing data broad leeway in rejecting requests for public information</w:t>
      </w:r>
      <w:r w:rsidR="0009726E" w:rsidRPr="009851A8">
        <w:rPr>
          <w:rFonts w:ascii="Garamond" w:eastAsia="Times New Roman" w:hAnsi="Garamond"/>
          <w:sz w:val="24"/>
          <w:szCs w:val="24"/>
          <w:lang w:val="en-GB" w:eastAsia="hu-HU"/>
        </w:rPr>
        <w:t>, restricting full access to data to specific governmental institutions (such as the State Audit Office and the Government Control Office). The amended Law on Freedom of Information says t</w:t>
      </w:r>
      <w:r w:rsidR="00D132FE" w:rsidRPr="009851A8">
        <w:rPr>
          <w:rFonts w:ascii="Garamond" w:eastAsia="Times New Roman" w:hAnsi="Garamond"/>
          <w:sz w:val="24"/>
          <w:szCs w:val="24"/>
          <w:lang w:val="en-GB" w:eastAsia="hu-HU"/>
        </w:rPr>
        <w:t>hat “overarching, invoice-based</w:t>
      </w:r>
      <w:r w:rsidR="0009726E" w:rsidRPr="009851A8">
        <w:rPr>
          <w:rFonts w:ascii="Garamond" w:eastAsia="Times New Roman" w:hAnsi="Garamond"/>
          <w:sz w:val="24"/>
          <w:szCs w:val="24"/>
          <w:lang w:val="en-GB" w:eastAsia="hu-HU"/>
        </w:rPr>
        <w:t>” or “itemized” audit of the “management of a public authority” shall not be governed by th</w:t>
      </w:r>
      <w:r w:rsidR="00D132FE" w:rsidRPr="009851A8">
        <w:rPr>
          <w:rFonts w:ascii="Garamond" w:eastAsia="Times New Roman" w:hAnsi="Garamond"/>
          <w:sz w:val="24"/>
          <w:szCs w:val="24"/>
          <w:lang w:val="en-GB" w:eastAsia="hu-HU"/>
        </w:rPr>
        <w:t>e Law on Freedom of Information</w:t>
      </w:r>
      <w:r w:rsidRPr="009851A8">
        <w:rPr>
          <w:rFonts w:ascii="Garamond" w:eastAsia="Times New Roman" w:hAnsi="Garamond"/>
          <w:sz w:val="24"/>
          <w:szCs w:val="24"/>
          <w:lang w:val="en-GB" w:eastAsia="hu-HU"/>
        </w:rPr>
        <w:t>.</w:t>
      </w:r>
    </w:p>
    <w:p w:rsidR="00D85C71" w:rsidRPr="009851A8" w:rsidRDefault="00D85C71" w:rsidP="00D132FE">
      <w:pPr>
        <w:pStyle w:val="Listaszerbekezds"/>
        <w:numPr>
          <w:ilvl w:val="0"/>
          <w:numId w:val="16"/>
        </w:numPr>
        <w:spacing w:before="120" w:after="120" w:line="240" w:lineRule="auto"/>
        <w:ind w:left="284" w:hanging="284"/>
        <w:contextualSpacing w:val="0"/>
        <w:jc w:val="both"/>
        <w:rPr>
          <w:rFonts w:ascii="Garamond" w:eastAsia="Times New Roman" w:hAnsi="Garamond"/>
          <w:sz w:val="24"/>
          <w:szCs w:val="24"/>
          <w:u w:val="single"/>
          <w:lang w:val="en-GB" w:eastAsia="hu-HU"/>
        </w:rPr>
      </w:pPr>
      <w:r w:rsidRPr="009851A8">
        <w:rPr>
          <w:rFonts w:ascii="Garamond" w:eastAsia="Times New Roman" w:hAnsi="Garamond"/>
          <w:sz w:val="24"/>
          <w:szCs w:val="24"/>
          <w:u w:val="single"/>
          <w:lang w:val="en-GB" w:eastAsia="hu-HU"/>
        </w:rPr>
        <w:t>The notion of family and marriage</w:t>
      </w:r>
    </w:p>
    <w:p w:rsidR="00E417F2" w:rsidRPr="009851A8" w:rsidRDefault="00D132FE" w:rsidP="00E417F2">
      <w:pPr>
        <w:pStyle w:val="Listaszerbekezds"/>
        <w:numPr>
          <w:ilvl w:val="0"/>
          <w:numId w:val="27"/>
        </w:numPr>
        <w:spacing w:before="120" w:after="120" w:line="240" w:lineRule="auto"/>
        <w:ind w:left="714" w:hanging="357"/>
        <w:contextualSpacing w:val="0"/>
        <w:jc w:val="both"/>
        <w:rPr>
          <w:rFonts w:ascii="Garamond" w:eastAsia="Times New Roman" w:hAnsi="Garamond"/>
          <w:sz w:val="24"/>
          <w:szCs w:val="24"/>
          <w:lang w:val="en-GB" w:eastAsia="hu-HU"/>
        </w:rPr>
      </w:pPr>
      <w:r w:rsidRPr="009851A8">
        <w:rPr>
          <w:rFonts w:ascii="Garamond" w:eastAsia="Times New Roman" w:hAnsi="Garamond"/>
          <w:sz w:val="24"/>
          <w:szCs w:val="24"/>
          <w:lang w:val="en-GB" w:eastAsia="hu-HU"/>
        </w:rPr>
        <w:t xml:space="preserve">In order to overrule a Constitutional Court decision abolishing a law providing for a restrictive interpretation of the notion of family, the Fourth Amendment to the Fundamental Law severely </w:t>
      </w:r>
      <w:r w:rsidRPr="009851A8">
        <w:rPr>
          <w:rFonts w:ascii="Garamond" w:eastAsia="Times New Roman" w:hAnsi="Garamond"/>
          <w:b/>
          <w:sz w:val="24"/>
          <w:szCs w:val="24"/>
          <w:lang w:val="en-GB" w:eastAsia="hu-HU"/>
        </w:rPr>
        <w:t>narrowed the notion of family, restricting it to marriage and parent-child relationships</w:t>
      </w:r>
      <w:r w:rsidRPr="009851A8">
        <w:rPr>
          <w:rFonts w:ascii="Garamond" w:eastAsia="Times New Roman" w:hAnsi="Garamond"/>
          <w:sz w:val="24"/>
          <w:szCs w:val="24"/>
          <w:lang w:val="en-GB" w:eastAsia="hu-HU"/>
        </w:rPr>
        <w:t>. Thus, the Fundamental Law itself discriminates against all other family configurations, in contradiction to the case law of the European Court of Human Rights.</w:t>
      </w:r>
    </w:p>
    <w:p w:rsidR="00E821B5" w:rsidRPr="007B7638" w:rsidRDefault="00E417F2" w:rsidP="007B7638">
      <w:pPr>
        <w:pStyle w:val="Listaszerbekezds"/>
        <w:numPr>
          <w:ilvl w:val="0"/>
          <w:numId w:val="27"/>
        </w:numPr>
        <w:spacing w:before="120" w:after="240" w:line="240" w:lineRule="auto"/>
        <w:ind w:left="714" w:hanging="357"/>
        <w:contextualSpacing w:val="0"/>
        <w:jc w:val="both"/>
        <w:rPr>
          <w:rFonts w:ascii="Garamond" w:eastAsia="Times New Roman" w:hAnsi="Garamond"/>
          <w:sz w:val="24"/>
          <w:szCs w:val="24"/>
          <w:lang w:val="en-GB" w:eastAsia="hu-HU"/>
        </w:rPr>
      </w:pPr>
      <w:r w:rsidRPr="009851A8">
        <w:rPr>
          <w:rFonts w:ascii="Garamond" w:eastAsia="Times New Roman" w:hAnsi="Garamond"/>
          <w:sz w:val="24"/>
          <w:szCs w:val="24"/>
          <w:lang w:val="en-GB" w:eastAsia="hu-HU"/>
        </w:rPr>
        <w:t xml:space="preserve">Marriage is defined by the Fundamental Law </w:t>
      </w:r>
      <w:r w:rsidR="00E821B5">
        <w:rPr>
          <w:rFonts w:ascii="Garamond" w:eastAsia="Times New Roman" w:hAnsi="Garamond"/>
          <w:sz w:val="24"/>
          <w:szCs w:val="24"/>
          <w:lang w:val="en-GB" w:eastAsia="hu-HU"/>
        </w:rPr>
        <w:t xml:space="preserve">as the </w:t>
      </w:r>
      <w:r w:rsidRPr="009851A8">
        <w:rPr>
          <w:rFonts w:ascii="Garamond" w:eastAsia="Times New Roman" w:hAnsi="Garamond"/>
          <w:sz w:val="24"/>
          <w:szCs w:val="24"/>
          <w:lang w:val="en-GB" w:eastAsia="hu-HU"/>
        </w:rPr>
        <w:t>union of a man</w:t>
      </w:r>
      <w:r w:rsidR="00E821B5">
        <w:rPr>
          <w:rFonts w:ascii="Garamond" w:eastAsia="Times New Roman" w:hAnsi="Garamond"/>
          <w:sz w:val="24"/>
          <w:szCs w:val="24"/>
          <w:lang w:val="en-GB" w:eastAsia="hu-HU"/>
        </w:rPr>
        <w:t xml:space="preserve"> and a woman</w:t>
      </w:r>
      <w:r w:rsidRPr="009851A8">
        <w:rPr>
          <w:rFonts w:ascii="Garamond" w:eastAsia="Times New Roman" w:hAnsi="Garamond"/>
          <w:sz w:val="24"/>
          <w:szCs w:val="24"/>
          <w:lang w:val="en-GB" w:eastAsia="hu-HU"/>
        </w:rPr>
        <w:t xml:space="preserve">, excluding even the </w:t>
      </w:r>
      <w:r w:rsidR="00E87189">
        <w:rPr>
          <w:rFonts w:ascii="Garamond" w:eastAsia="Times New Roman" w:hAnsi="Garamond"/>
          <w:sz w:val="24"/>
          <w:szCs w:val="24"/>
          <w:lang w:val="en-GB" w:eastAsia="hu-HU"/>
        </w:rPr>
        <w:t xml:space="preserve">future </w:t>
      </w:r>
      <w:r w:rsidRPr="009851A8">
        <w:rPr>
          <w:rFonts w:ascii="Garamond" w:eastAsia="Times New Roman" w:hAnsi="Garamond"/>
          <w:sz w:val="24"/>
          <w:szCs w:val="24"/>
          <w:lang w:val="en-GB" w:eastAsia="hu-HU"/>
        </w:rPr>
        <w:t>consideration of allowing same sex marriages.</w:t>
      </w:r>
    </w:p>
    <w:p w:rsidR="00D132FE" w:rsidRPr="009851A8" w:rsidRDefault="00D132FE" w:rsidP="00D132FE">
      <w:pPr>
        <w:pStyle w:val="Listaszerbekezds"/>
        <w:numPr>
          <w:ilvl w:val="0"/>
          <w:numId w:val="16"/>
        </w:numPr>
        <w:spacing w:before="120" w:after="120" w:line="240" w:lineRule="auto"/>
        <w:ind w:left="284" w:hanging="284"/>
        <w:contextualSpacing w:val="0"/>
        <w:rPr>
          <w:rFonts w:ascii="Garamond" w:eastAsia="Times New Roman" w:hAnsi="Garamond"/>
          <w:sz w:val="24"/>
          <w:szCs w:val="24"/>
          <w:u w:val="single"/>
          <w:lang w:val="en-GB" w:eastAsia="hu-HU"/>
        </w:rPr>
      </w:pPr>
      <w:r w:rsidRPr="009851A8">
        <w:rPr>
          <w:rFonts w:ascii="Garamond" w:eastAsia="Times New Roman" w:hAnsi="Garamond"/>
          <w:sz w:val="24"/>
          <w:szCs w:val="24"/>
          <w:u w:val="single"/>
          <w:lang w:val="en-GB" w:eastAsia="hu-HU"/>
        </w:rPr>
        <w:t xml:space="preserve">Right to social security </w:t>
      </w:r>
    </w:p>
    <w:p w:rsidR="00E87189" w:rsidRDefault="00E417F2" w:rsidP="007B7638">
      <w:pPr>
        <w:autoSpaceDE w:val="0"/>
        <w:autoSpaceDN w:val="0"/>
        <w:adjustRightInd w:val="0"/>
        <w:spacing w:after="0" w:line="240" w:lineRule="auto"/>
        <w:ind w:left="284"/>
        <w:jc w:val="both"/>
        <w:rPr>
          <w:rFonts w:ascii="Garamond" w:eastAsia="Times New Roman" w:hAnsi="Garamond"/>
          <w:sz w:val="24"/>
          <w:szCs w:val="24"/>
          <w:lang w:val="en-GB" w:eastAsia="hu-HU"/>
        </w:rPr>
      </w:pPr>
      <w:r w:rsidRPr="009851A8">
        <w:rPr>
          <w:rFonts w:ascii="Garamond" w:eastAsia="Times New Roman" w:hAnsi="Garamond"/>
          <w:sz w:val="24"/>
          <w:szCs w:val="24"/>
          <w:lang w:val="en-GB" w:eastAsia="hu-HU"/>
        </w:rPr>
        <w:t xml:space="preserve">The </w:t>
      </w:r>
      <w:r w:rsidRPr="009851A8">
        <w:rPr>
          <w:rFonts w:ascii="Garamond" w:eastAsia="Times New Roman" w:hAnsi="Garamond"/>
          <w:b/>
          <w:sz w:val="24"/>
          <w:szCs w:val="24"/>
          <w:lang w:val="en-GB" w:eastAsia="hu-HU"/>
        </w:rPr>
        <w:t>right to social security is degraded to the level of an abstract state objective</w:t>
      </w:r>
      <w:r w:rsidRPr="009851A8">
        <w:rPr>
          <w:rFonts w:ascii="Garamond" w:eastAsia="Times New Roman" w:hAnsi="Garamond"/>
          <w:sz w:val="24"/>
          <w:szCs w:val="24"/>
          <w:lang w:val="en-GB" w:eastAsia="hu-HU"/>
        </w:rPr>
        <w:t>: according to the Fundamental Law, the state only “strives to provide social security”. Furthermore, by stating that the nature and extent of socia</w:t>
      </w:r>
      <w:r w:rsidR="007B7638">
        <w:rPr>
          <w:rFonts w:ascii="Garamond" w:eastAsia="Times New Roman" w:hAnsi="Garamond"/>
          <w:sz w:val="24"/>
          <w:szCs w:val="24"/>
          <w:lang w:val="en-GB" w:eastAsia="hu-HU"/>
        </w:rPr>
        <w:t xml:space="preserve">l measures may be made determined “in </w:t>
      </w:r>
      <w:r w:rsidR="007B7638" w:rsidRPr="007B7638">
        <w:rPr>
          <w:rFonts w:ascii="Garamond" w:eastAsia="Times New Roman" w:hAnsi="Garamond"/>
          <w:sz w:val="24"/>
          <w:szCs w:val="24"/>
          <w:lang w:val="en-GB" w:eastAsia="hu-HU"/>
        </w:rPr>
        <w:t xml:space="preserve">accordance with </w:t>
      </w:r>
      <w:r w:rsidR="007B7638" w:rsidRPr="007B7638">
        <w:rPr>
          <w:rFonts w:ascii="Garamond" w:hAnsi="Garamond"/>
          <w:sz w:val="24"/>
          <w:szCs w:val="24"/>
          <w:lang w:val="en-GB"/>
        </w:rPr>
        <w:t>the usefulness to the community of the beneficiary’s activity</w:t>
      </w:r>
      <w:r w:rsidR="00E87189">
        <w:rPr>
          <w:rFonts w:ascii="Garamond" w:hAnsi="Garamond"/>
          <w:sz w:val="24"/>
          <w:szCs w:val="24"/>
          <w:lang w:val="en-GB"/>
        </w:rPr>
        <w:t>”</w:t>
      </w:r>
      <w:r w:rsidRPr="007B7638">
        <w:rPr>
          <w:rFonts w:ascii="Garamond" w:eastAsia="Times New Roman" w:hAnsi="Garamond"/>
          <w:sz w:val="24"/>
          <w:szCs w:val="24"/>
          <w:lang w:val="en-GB" w:eastAsia="hu-HU"/>
        </w:rPr>
        <w:t>, the Fundamental Law denies the principle of equal dignity.</w:t>
      </w:r>
    </w:p>
    <w:p w:rsidR="00AC1E59" w:rsidRPr="009851A8" w:rsidRDefault="00422DB1" w:rsidP="007B7638">
      <w:pPr>
        <w:autoSpaceDE w:val="0"/>
        <w:autoSpaceDN w:val="0"/>
        <w:adjustRightInd w:val="0"/>
        <w:spacing w:after="0" w:line="240" w:lineRule="auto"/>
        <w:ind w:left="284"/>
        <w:jc w:val="both"/>
        <w:rPr>
          <w:rFonts w:ascii="Garamond" w:eastAsia="Times New Roman" w:hAnsi="Garamond"/>
          <w:sz w:val="24"/>
          <w:szCs w:val="24"/>
          <w:lang w:val="en-GB" w:eastAsia="hu-HU"/>
        </w:rPr>
      </w:pPr>
      <w:r w:rsidRPr="009851A8">
        <w:rPr>
          <w:rFonts w:ascii="Garamond" w:eastAsia="Times New Roman" w:hAnsi="Garamond"/>
          <w:sz w:val="24"/>
          <w:szCs w:val="24"/>
          <w:lang w:val="en-GB" w:eastAsia="hu-HU"/>
        </w:rPr>
        <w:t xml:space="preserve"> </w:t>
      </w:r>
      <w:r w:rsidR="00AC1E59" w:rsidRPr="009851A8">
        <w:rPr>
          <w:rFonts w:ascii="Garamond" w:hAnsi="Garamond"/>
          <w:sz w:val="24"/>
          <w:szCs w:val="24"/>
          <w:lang w:val="en-GB"/>
        </w:rPr>
        <w:br w:type="page"/>
      </w:r>
    </w:p>
    <w:p w:rsidR="00590B6A" w:rsidRPr="009851A8" w:rsidRDefault="006F0770" w:rsidP="00465B5A">
      <w:pPr>
        <w:spacing w:before="120" w:after="120" w:line="240" w:lineRule="auto"/>
        <w:jc w:val="center"/>
        <w:rPr>
          <w:rFonts w:ascii="Garamond" w:hAnsi="Garamond" w:cs="Arial"/>
          <w:smallCaps/>
          <w:sz w:val="24"/>
          <w:szCs w:val="24"/>
          <w:lang w:val="en-GB"/>
        </w:rPr>
      </w:pPr>
      <w:r>
        <w:rPr>
          <w:rFonts w:ascii="Garamond" w:hAnsi="Garamond" w:cs="Arial"/>
          <w:smallCaps/>
          <w:sz w:val="24"/>
          <w:szCs w:val="24"/>
          <w:lang w:val="en-GB"/>
        </w:rPr>
        <w:lastRenderedPageBreak/>
        <w:t>Hungary Fact Sheet 4</w:t>
      </w:r>
    </w:p>
    <w:p w:rsidR="00590B6A" w:rsidRPr="009851A8" w:rsidRDefault="00590B6A" w:rsidP="00465B5A">
      <w:pPr>
        <w:spacing w:before="120" w:after="120" w:line="240" w:lineRule="auto"/>
        <w:jc w:val="center"/>
        <w:rPr>
          <w:rFonts w:ascii="Garamond" w:hAnsi="Garamond" w:cs="Arial"/>
          <w:smallCaps/>
          <w:sz w:val="24"/>
          <w:szCs w:val="24"/>
          <w:lang w:val="en-GB"/>
        </w:rPr>
      </w:pPr>
      <w:r w:rsidRPr="009851A8">
        <w:rPr>
          <w:rFonts w:ascii="Garamond" w:hAnsi="Garamond" w:cs="Arial"/>
          <w:smallCaps/>
          <w:sz w:val="24"/>
          <w:szCs w:val="24"/>
          <w:lang w:val="en-GB"/>
        </w:rPr>
        <w:t>September 2014</w:t>
      </w:r>
    </w:p>
    <w:p w:rsidR="00AC1E59" w:rsidRPr="009851A8" w:rsidRDefault="00590B6A" w:rsidP="00465B5A">
      <w:pPr>
        <w:pStyle w:val="NormlWeb"/>
        <w:shd w:val="clear" w:color="auto" w:fill="FFFFFF"/>
        <w:tabs>
          <w:tab w:val="left" w:pos="567"/>
        </w:tabs>
        <w:spacing w:before="120" w:beforeAutospacing="0" w:after="120" w:afterAutospacing="0"/>
        <w:jc w:val="center"/>
        <w:rPr>
          <w:rFonts w:ascii="Garamond" w:hAnsi="Garamond"/>
          <w:lang w:val="en-GB"/>
        </w:rPr>
      </w:pPr>
      <w:r w:rsidRPr="009851A8">
        <w:rPr>
          <w:rFonts w:ascii="Garamond" w:hAnsi="Garamond" w:cs="Garamond-Bold"/>
          <w:b/>
          <w:bCs/>
          <w:smallCaps/>
          <w:sz w:val="28"/>
          <w:szCs w:val="28"/>
          <w:lang w:val="en-GB"/>
        </w:rPr>
        <w:t>Free but not fair elections</w:t>
      </w:r>
    </w:p>
    <w:p w:rsidR="00AC1E59" w:rsidRDefault="00AC1E59" w:rsidP="00A33A5B">
      <w:pPr>
        <w:pStyle w:val="NormlWeb"/>
        <w:shd w:val="clear" w:color="auto" w:fill="FFFFFF"/>
        <w:tabs>
          <w:tab w:val="left" w:pos="567"/>
        </w:tabs>
        <w:spacing w:before="120" w:beforeAutospacing="0" w:after="120" w:afterAutospacing="0"/>
        <w:jc w:val="both"/>
        <w:rPr>
          <w:rFonts w:ascii="Garamond" w:hAnsi="Garamond"/>
          <w:lang w:val="en-GB"/>
        </w:rPr>
      </w:pPr>
    </w:p>
    <w:p w:rsidR="000B20B8" w:rsidRPr="000856AE" w:rsidRDefault="000856AE" w:rsidP="00E87189">
      <w:pPr>
        <w:pStyle w:val="NormlWeb"/>
        <w:shd w:val="clear" w:color="auto" w:fill="FFFFFF"/>
        <w:tabs>
          <w:tab w:val="left" w:pos="567"/>
        </w:tabs>
        <w:spacing w:before="120" w:beforeAutospacing="0" w:after="240" w:afterAutospacing="0"/>
        <w:jc w:val="both"/>
        <w:rPr>
          <w:rFonts w:ascii="Garamond" w:hAnsi="Garamond"/>
          <w:lang w:val="en-GB"/>
        </w:rPr>
      </w:pPr>
      <w:r>
        <w:rPr>
          <w:rFonts w:ascii="Garamond" w:hAnsi="Garamond"/>
          <w:lang w:val="en-GB"/>
        </w:rPr>
        <w:t>The legal framework of the national</w:t>
      </w:r>
      <w:r w:rsidRPr="000856AE">
        <w:rPr>
          <w:rFonts w:ascii="Garamond" w:hAnsi="Garamond"/>
          <w:lang w:val="en-GB"/>
        </w:rPr>
        <w:t xml:space="preserve"> elections was amended substantially in recent years</w:t>
      </w:r>
      <w:r>
        <w:rPr>
          <w:rFonts w:ascii="Garamond" w:hAnsi="Garamond"/>
          <w:lang w:val="en-GB"/>
        </w:rPr>
        <w:t>, and, as confirmed by the</w:t>
      </w:r>
      <w:r w:rsidRPr="000856AE">
        <w:rPr>
          <w:rFonts w:ascii="Garamond" w:hAnsi="Garamond"/>
          <w:lang w:val="en-GB"/>
        </w:rPr>
        <w:t xml:space="preserve"> </w:t>
      </w:r>
      <w:r>
        <w:rPr>
          <w:rFonts w:ascii="Garamond" w:hAnsi="Garamond"/>
          <w:lang w:val="en-GB"/>
        </w:rPr>
        <w:t xml:space="preserve">report of the </w:t>
      </w:r>
      <w:r w:rsidRPr="000856AE">
        <w:rPr>
          <w:rFonts w:ascii="Garamond" w:hAnsi="Garamond"/>
          <w:bCs/>
          <w:lang w:val="hu-HU"/>
        </w:rPr>
        <w:t>OSCE</w:t>
      </w:r>
      <w:r w:rsidRPr="000856AE">
        <w:rPr>
          <w:rFonts w:ascii="Garamond" w:hAnsi="Garamond"/>
          <w:bCs/>
          <w:lang w:val="en-GB"/>
        </w:rPr>
        <w:t>/ODIHR Limited Election Observation Mission</w:t>
      </w:r>
      <w:r>
        <w:rPr>
          <w:rFonts w:ascii="Garamond" w:hAnsi="Garamond"/>
          <w:bCs/>
          <w:lang w:val="en-GB"/>
        </w:rPr>
        <w:t xml:space="preserve"> on the parliamentary elections in April 2014,</w:t>
      </w:r>
      <w:r w:rsidRPr="000856AE">
        <w:rPr>
          <w:rFonts w:ascii="Garamond" w:hAnsi="Garamond"/>
          <w:lang w:val="en-GB"/>
        </w:rPr>
        <w:t xml:space="preserve"> </w:t>
      </w:r>
      <w:r w:rsidR="000B20B8">
        <w:rPr>
          <w:rFonts w:ascii="Garamond" w:hAnsi="Garamond"/>
          <w:lang w:val="en-GB"/>
        </w:rPr>
        <w:t>“</w:t>
      </w:r>
      <w:r w:rsidRPr="000856AE">
        <w:rPr>
          <w:rFonts w:ascii="Garamond" w:hAnsi="Garamond"/>
          <w:lang w:val="en-GB"/>
        </w:rPr>
        <w:t xml:space="preserve">a </w:t>
      </w:r>
      <w:r w:rsidRPr="00E20181">
        <w:rPr>
          <w:rFonts w:ascii="Garamond" w:hAnsi="Garamond"/>
          <w:b/>
          <w:lang w:val="en-GB"/>
        </w:rPr>
        <w:t>number of key amendments negatively affected the electoral process</w:t>
      </w:r>
      <w:r w:rsidRPr="000856AE">
        <w:rPr>
          <w:rFonts w:ascii="Garamond" w:hAnsi="Garamond"/>
          <w:lang w:val="en-GB"/>
        </w:rPr>
        <w:t>,</w:t>
      </w:r>
      <w:r>
        <w:rPr>
          <w:rFonts w:ascii="Garamond" w:hAnsi="Garamond"/>
          <w:lang w:val="en-GB"/>
        </w:rPr>
        <w:t xml:space="preserve"> </w:t>
      </w:r>
      <w:r w:rsidRPr="000856AE">
        <w:rPr>
          <w:rFonts w:ascii="Garamond" w:hAnsi="Garamond"/>
          <w:lang w:val="en-GB"/>
        </w:rPr>
        <w:t>including the removal of important checks and balances</w:t>
      </w:r>
      <w:r w:rsidR="000B20B8">
        <w:rPr>
          <w:rFonts w:ascii="Garamond" w:hAnsi="Garamond"/>
          <w:lang w:val="en-GB"/>
        </w:rPr>
        <w:t>”</w:t>
      </w:r>
      <w:r w:rsidRPr="000856AE">
        <w:rPr>
          <w:rFonts w:ascii="Garamond" w:hAnsi="Garamond"/>
          <w:lang w:val="en-GB"/>
        </w:rPr>
        <w:t>.</w:t>
      </w:r>
      <w:r w:rsidR="00304421">
        <w:rPr>
          <w:rStyle w:val="Lbjegyzet-hivatkozs"/>
          <w:rFonts w:ascii="Garamond" w:hAnsi="Garamond"/>
          <w:lang w:val="en-GB"/>
        </w:rPr>
        <w:footnoteReference w:id="13"/>
      </w:r>
      <w:r w:rsidR="00304421">
        <w:rPr>
          <w:rFonts w:ascii="Garamond" w:hAnsi="Garamond"/>
          <w:lang w:val="en-GB"/>
        </w:rPr>
        <w:t xml:space="preserve"> At the same time</w:t>
      </w:r>
      <w:r w:rsidR="000B20B8">
        <w:rPr>
          <w:rFonts w:ascii="Garamond" w:hAnsi="Garamond"/>
          <w:lang w:val="en-GB"/>
        </w:rPr>
        <w:t xml:space="preserve">, </w:t>
      </w:r>
      <w:r w:rsidR="000B20B8" w:rsidRPr="00E20181">
        <w:rPr>
          <w:rFonts w:ascii="Garamond" w:hAnsi="Garamond"/>
          <w:b/>
          <w:lang w:val="en-GB"/>
        </w:rPr>
        <w:t>highly questionable decisions</w:t>
      </w:r>
      <w:r w:rsidR="000B20B8">
        <w:rPr>
          <w:rFonts w:ascii="Garamond" w:hAnsi="Garamond"/>
          <w:lang w:val="en-GB"/>
        </w:rPr>
        <w:t xml:space="preserve"> were delivered by</w:t>
      </w:r>
      <w:r w:rsidR="000438A7">
        <w:rPr>
          <w:rFonts w:ascii="Garamond" w:hAnsi="Garamond"/>
          <w:lang w:val="en-GB"/>
        </w:rPr>
        <w:t xml:space="preserve"> authorities</w:t>
      </w:r>
      <w:r w:rsidR="000B20B8">
        <w:rPr>
          <w:rFonts w:ascii="Garamond" w:hAnsi="Garamond"/>
        </w:rPr>
        <w:t>, jeopardizing the fairness of the elections.</w:t>
      </w:r>
      <w:r w:rsidR="00FC7FC7">
        <w:rPr>
          <w:rStyle w:val="Lbjegyzet-hivatkozs"/>
          <w:rFonts w:ascii="Garamond" w:hAnsi="Garamond"/>
        </w:rPr>
        <w:footnoteReference w:id="14"/>
      </w:r>
    </w:p>
    <w:p w:rsidR="00F42E4F" w:rsidRPr="00775059" w:rsidRDefault="00FA2DD8" w:rsidP="00A33A5B">
      <w:pPr>
        <w:pStyle w:val="Listaszerbekezds"/>
        <w:numPr>
          <w:ilvl w:val="0"/>
          <w:numId w:val="5"/>
        </w:numPr>
        <w:spacing w:before="120" w:after="120" w:line="240" w:lineRule="auto"/>
        <w:ind w:left="284" w:hanging="284"/>
        <w:contextualSpacing w:val="0"/>
        <w:jc w:val="both"/>
        <w:rPr>
          <w:rFonts w:ascii="Garamond" w:eastAsia="Times New Roman" w:hAnsi="Garamond"/>
          <w:sz w:val="24"/>
          <w:szCs w:val="24"/>
          <w:u w:val="single"/>
          <w:lang w:val="en-GB" w:eastAsia="hu-HU"/>
        </w:rPr>
      </w:pPr>
      <w:r w:rsidRPr="005100C7">
        <w:rPr>
          <w:rFonts w:ascii="Garamond" w:eastAsia="Times New Roman" w:hAnsi="Garamond"/>
          <w:b/>
          <w:sz w:val="24"/>
          <w:szCs w:val="24"/>
          <w:lang w:val="en-GB" w:eastAsia="hu-HU"/>
        </w:rPr>
        <w:t>Gerrymandering</w:t>
      </w:r>
      <w:r w:rsidR="00775059" w:rsidRPr="005100C7">
        <w:rPr>
          <w:rStyle w:val="Lbjegyzet-hivatkozs"/>
          <w:rFonts w:ascii="Garamond" w:eastAsia="Times New Roman" w:hAnsi="Garamond"/>
          <w:sz w:val="24"/>
          <w:szCs w:val="24"/>
          <w:lang w:val="en-GB" w:eastAsia="hu-HU"/>
        </w:rPr>
        <w:footnoteReference w:id="15"/>
      </w:r>
    </w:p>
    <w:p w:rsidR="006D0FFB" w:rsidRPr="00775059" w:rsidRDefault="00BD0440" w:rsidP="00EB6EC2">
      <w:pPr>
        <w:pStyle w:val="Listaszerbekezds"/>
        <w:spacing w:before="120" w:after="120" w:line="240" w:lineRule="auto"/>
        <w:ind w:left="284"/>
        <w:contextualSpacing w:val="0"/>
        <w:jc w:val="both"/>
        <w:rPr>
          <w:rFonts w:ascii="Garamond" w:eastAsia="Times New Roman" w:hAnsi="Garamond"/>
          <w:sz w:val="24"/>
          <w:szCs w:val="24"/>
          <w:lang w:val="en-GB" w:eastAsia="hu-HU"/>
        </w:rPr>
      </w:pPr>
      <w:r w:rsidRPr="009851A8">
        <w:rPr>
          <w:rFonts w:ascii="Garamond" w:eastAsia="Times New Roman" w:hAnsi="Garamond"/>
          <w:sz w:val="24"/>
          <w:szCs w:val="24"/>
          <w:lang w:val="en-GB" w:eastAsia="hu-HU"/>
        </w:rPr>
        <w:t>Concurrent to the enactment of a new Hungarian electoral law</w:t>
      </w:r>
      <w:r w:rsidR="00F42E4F">
        <w:rPr>
          <w:rFonts w:ascii="Garamond" w:eastAsia="Times New Roman" w:hAnsi="Garamond"/>
          <w:sz w:val="24"/>
          <w:szCs w:val="24"/>
          <w:lang w:val="en-GB" w:eastAsia="hu-HU"/>
        </w:rPr>
        <w:t xml:space="preserve"> in</w:t>
      </w:r>
      <w:r w:rsidR="00775059">
        <w:rPr>
          <w:rFonts w:ascii="Garamond" w:eastAsia="Times New Roman" w:hAnsi="Garamond"/>
          <w:sz w:val="24"/>
          <w:szCs w:val="24"/>
          <w:lang w:val="en-GB" w:eastAsia="hu-HU"/>
        </w:rPr>
        <w:t xml:space="preserve"> 2011</w:t>
      </w:r>
      <w:r w:rsidRPr="009851A8">
        <w:rPr>
          <w:rFonts w:ascii="Garamond" w:eastAsia="Times New Roman" w:hAnsi="Garamond"/>
          <w:sz w:val="24"/>
          <w:szCs w:val="24"/>
          <w:lang w:val="en-GB" w:eastAsia="hu-HU"/>
        </w:rPr>
        <w:t>, a new constitu</w:t>
      </w:r>
      <w:r w:rsidR="00775059">
        <w:rPr>
          <w:rFonts w:ascii="Garamond" w:eastAsia="Times New Roman" w:hAnsi="Garamond"/>
          <w:sz w:val="24"/>
          <w:szCs w:val="24"/>
          <w:lang w:val="en-GB" w:eastAsia="hu-HU"/>
        </w:rPr>
        <w:t xml:space="preserve">ency map also came into effect. For </w:t>
      </w:r>
      <w:r w:rsidRPr="009851A8">
        <w:rPr>
          <w:rFonts w:ascii="Garamond" w:eastAsia="Times New Roman" w:hAnsi="Garamond"/>
          <w:sz w:val="24"/>
          <w:szCs w:val="24"/>
          <w:lang w:val="en-GB" w:eastAsia="hu-HU"/>
        </w:rPr>
        <w:t>constitutional reasons, the revision of electoral boundari</w:t>
      </w:r>
      <w:r w:rsidR="000438A7">
        <w:rPr>
          <w:rFonts w:ascii="Garamond" w:eastAsia="Times New Roman" w:hAnsi="Garamond"/>
          <w:sz w:val="24"/>
          <w:szCs w:val="24"/>
          <w:lang w:val="en-GB" w:eastAsia="hu-HU"/>
        </w:rPr>
        <w:t>es could no longer be postponed, h</w:t>
      </w:r>
      <w:r w:rsidR="00775059">
        <w:rPr>
          <w:rFonts w:ascii="Garamond" w:eastAsia="Times New Roman" w:hAnsi="Garamond"/>
          <w:sz w:val="24"/>
          <w:szCs w:val="24"/>
          <w:lang w:val="en-GB" w:eastAsia="hu-HU"/>
        </w:rPr>
        <w:t xml:space="preserve">owever, </w:t>
      </w:r>
      <w:r w:rsidR="00FC7FC7">
        <w:rPr>
          <w:rFonts w:ascii="Garamond" w:eastAsia="Times New Roman" w:hAnsi="Garamond"/>
          <w:sz w:val="24"/>
          <w:szCs w:val="24"/>
          <w:lang w:val="en-GB" w:eastAsia="hu-HU"/>
        </w:rPr>
        <w:t>c</w:t>
      </w:r>
      <w:r w:rsidR="00725036">
        <w:rPr>
          <w:rFonts w:ascii="Garamond" w:eastAsia="Times New Roman" w:hAnsi="Garamond"/>
          <w:sz w:val="24"/>
          <w:szCs w:val="24"/>
          <w:lang w:val="en-GB" w:eastAsia="hu-HU"/>
        </w:rPr>
        <w:t xml:space="preserve">oncerns may be raised </w:t>
      </w:r>
      <w:r w:rsidR="005100C7">
        <w:rPr>
          <w:rFonts w:ascii="Garamond" w:eastAsia="Times New Roman" w:hAnsi="Garamond"/>
          <w:sz w:val="24"/>
          <w:szCs w:val="24"/>
          <w:lang w:val="en-GB" w:eastAsia="hu-HU"/>
        </w:rPr>
        <w:t xml:space="preserve">both </w:t>
      </w:r>
      <w:r w:rsidR="00725036">
        <w:rPr>
          <w:rFonts w:ascii="Garamond" w:eastAsia="Times New Roman" w:hAnsi="Garamond"/>
          <w:sz w:val="24"/>
          <w:szCs w:val="24"/>
          <w:lang w:val="en-GB" w:eastAsia="hu-HU"/>
        </w:rPr>
        <w:t>with regard to the content of the map and its method of</w:t>
      </w:r>
      <w:r w:rsidR="00EB6EC2">
        <w:rPr>
          <w:rFonts w:ascii="Garamond" w:eastAsia="Times New Roman" w:hAnsi="Garamond"/>
          <w:sz w:val="24"/>
          <w:szCs w:val="24"/>
          <w:lang w:val="en-GB" w:eastAsia="hu-HU"/>
        </w:rPr>
        <w:t xml:space="preserve"> adoption: (</w:t>
      </w:r>
      <w:proofErr w:type="spellStart"/>
      <w:r w:rsidR="00EB6EC2">
        <w:rPr>
          <w:rFonts w:ascii="Garamond" w:eastAsia="Times New Roman" w:hAnsi="Garamond"/>
          <w:sz w:val="24"/>
          <w:szCs w:val="24"/>
          <w:lang w:val="en-GB" w:eastAsia="hu-HU"/>
        </w:rPr>
        <w:t>i</w:t>
      </w:r>
      <w:proofErr w:type="spellEnd"/>
      <w:r w:rsidR="00EB6EC2">
        <w:rPr>
          <w:rFonts w:ascii="Garamond" w:eastAsia="Times New Roman" w:hAnsi="Garamond"/>
          <w:sz w:val="24"/>
          <w:szCs w:val="24"/>
          <w:lang w:val="en-GB" w:eastAsia="hu-HU"/>
        </w:rPr>
        <w:t xml:space="preserve">) </w:t>
      </w:r>
      <w:proofErr w:type="gramStart"/>
      <w:r w:rsidRPr="009851A8">
        <w:rPr>
          <w:rFonts w:ascii="Garamond" w:eastAsia="Times New Roman" w:hAnsi="Garamond"/>
          <w:sz w:val="24"/>
          <w:szCs w:val="24"/>
          <w:lang w:val="en-GB" w:eastAsia="hu-HU"/>
        </w:rPr>
        <w:t>The</w:t>
      </w:r>
      <w:proofErr w:type="gramEnd"/>
      <w:r w:rsidRPr="009851A8">
        <w:rPr>
          <w:rFonts w:ascii="Garamond" w:eastAsia="Times New Roman" w:hAnsi="Garamond"/>
          <w:sz w:val="24"/>
          <w:szCs w:val="24"/>
          <w:lang w:val="en-GB" w:eastAsia="hu-HU"/>
        </w:rPr>
        <w:t xml:space="preserve"> design of the new constituency map went ahead without professio</w:t>
      </w:r>
      <w:r w:rsidR="005100C7">
        <w:rPr>
          <w:rFonts w:ascii="Garamond" w:eastAsia="Times New Roman" w:hAnsi="Garamond"/>
          <w:sz w:val="24"/>
          <w:szCs w:val="24"/>
          <w:lang w:val="en-GB" w:eastAsia="hu-HU"/>
        </w:rPr>
        <w:t>nal and political consultations</w:t>
      </w:r>
      <w:r w:rsidRPr="009851A8">
        <w:rPr>
          <w:rFonts w:ascii="Garamond" w:eastAsia="Times New Roman" w:hAnsi="Garamond"/>
          <w:sz w:val="24"/>
          <w:szCs w:val="24"/>
          <w:lang w:val="en-GB" w:eastAsia="hu-HU"/>
        </w:rPr>
        <w:t>.</w:t>
      </w:r>
      <w:r w:rsidR="005100C7">
        <w:rPr>
          <w:rFonts w:ascii="Garamond" w:eastAsia="Times New Roman" w:hAnsi="Garamond"/>
          <w:sz w:val="24"/>
          <w:szCs w:val="24"/>
          <w:lang w:val="en-GB" w:eastAsia="hu-HU"/>
        </w:rPr>
        <w:t xml:space="preserve"> Furthermore, amending</w:t>
      </w:r>
      <w:r w:rsidR="0007487E">
        <w:rPr>
          <w:rFonts w:ascii="Garamond" w:eastAsia="Times New Roman" w:hAnsi="Garamond"/>
          <w:sz w:val="24"/>
          <w:szCs w:val="24"/>
          <w:lang w:val="en-GB" w:eastAsia="hu-HU"/>
        </w:rPr>
        <w:t xml:space="preserve"> the map</w:t>
      </w:r>
      <w:r w:rsidR="005100C7">
        <w:rPr>
          <w:rFonts w:ascii="Garamond" w:eastAsia="Times New Roman" w:hAnsi="Garamond"/>
          <w:sz w:val="24"/>
          <w:szCs w:val="24"/>
          <w:lang w:val="en-GB" w:eastAsia="hu-HU"/>
        </w:rPr>
        <w:t xml:space="preserve"> </w:t>
      </w:r>
      <w:r w:rsidR="0007487E">
        <w:rPr>
          <w:rFonts w:ascii="Garamond" w:eastAsia="Times New Roman" w:hAnsi="Garamond"/>
          <w:sz w:val="24"/>
          <w:szCs w:val="24"/>
          <w:lang w:val="en-GB" w:eastAsia="hu-HU"/>
        </w:rPr>
        <w:t>will</w:t>
      </w:r>
      <w:r w:rsidR="005100C7">
        <w:rPr>
          <w:rFonts w:ascii="Garamond" w:eastAsia="Times New Roman" w:hAnsi="Garamond"/>
          <w:sz w:val="24"/>
          <w:szCs w:val="24"/>
          <w:lang w:val="en-GB" w:eastAsia="hu-HU"/>
        </w:rPr>
        <w:t xml:space="preserve"> require a two-third majority in the Parliament. </w:t>
      </w:r>
      <w:r w:rsidR="00EB6EC2">
        <w:rPr>
          <w:rFonts w:ascii="Garamond" w:eastAsia="Times New Roman" w:hAnsi="Garamond"/>
          <w:sz w:val="24"/>
          <w:szCs w:val="24"/>
          <w:lang w:val="en-GB" w:eastAsia="hu-HU"/>
        </w:rPr>
        <w:t xml:space="preserve">(ii) </w:t>
      </w:r>
      <w:r w:rsidR="00EB4204">
        <w:rPr>
          <w:rFonts w:ascii="Garamond" w:eastAsia="Times New Roman" w:hAnsi="Garamond"/>
          <w:sz w:val="24"/>
          <w:szCs w:val="24"/>
          <w:lang w:val="en-GB" w:eastAsia="hu-HU"/>
        </w:rPr>
        <w:t>According to the map, p</w:t>
      </w:r>
      <w:r w:rsidRPr="00775059">
        <w:rPr>
          <w:rFonts w:ascii="Garamond" w:eastAsia="Times New Roman" w:hAnsi="Garamond"/>
          <w:sz w:val="24"/>
          <w:szCs w:val="24"/>
          <w:lang w:val="en-GB" w:eastAsia="hu-HU"/>
        </w:rPr>
        <w:t>opulations in districts with leftist tendencies are typically 5 to 6 thousand larger than those in rightist districts</w:t>
      </w:r>
      <w:r w:rsidRPr="009851A8">
        <w:rPr>
          <w:rFonts w:ascii="Garamond" w:eastAsia="Times New Roman" w:hAnsi="Garamond"/>
          <w:sz w:val="24"/>
          <w:szCs w:val="24"/>
          <w:lang w:val="en-GB" w:eastAsia="hu-HU"/>
        </w:rPr>
        <w:t>.</w:t>
      </w:r>
      <w:r w:rsidR="00775059">
        <w:rPr>
          <w:rFonts w:ascii="Garamond" w:eastAsia="Times New Roman" w:hAnsi="Garamond"/>
          <w:sz w:val="24"/>
          <w:szCs w:val="24"/>
          <w:lang w:val="en-GB" w:eastAsia="hu-HU"/>
        </w:rPr>
        <w:t xml:space="preserve"> </w:t>
      </w:r>
      <w:r w:rsidRPr="00775059">
        <w:rPr>
          <w:rFonts w:ascii="Garamond" w:eastAsia="Times New Roman" w:hAnsi="Garamond"/>
          <w:sz w:val="24"/>
          <w:szCs w:val="24"/>
          <w:lang w:val="en-GB" w:eastAsia="hu-HU"/>
        </w:rPr>
        <w:t xml:space="preserve">According to several calculations, with equal support at the national level </w:t>
      </w:r>
      <w:proofErr w:type="spellStart"/>
      <w:r w:rsidRPr="00775059">
        <w:rPr>
          <w:rFonts w:ascii="Garamond" w:eastAsia="Times New Roman" w:hAnsi="Garamond"/>
          <w:sz w:val="24"/>
          <w:szCs w:val="24"/>
          <w:lang w:val="en-GB" w:eastAsia="hu-HU"/>
        </w:rPr>
        <w:t>Fidesz</w:t>
      </w:r>
      <w:proofErr w:type="spellEnd"/>
      <w:r w:rsidRPr="00775059">
        <w:rPr>
          <w:rFonts w:ascii="Garamond" w:eastAsia="Times New Roman" w:hAnsi="Garamond"/>
          <w:sz w:val="24"/>
          <w:szCs w:val="24"/>
          <w:lang w:val="en-GB" w:eastAsia="hu-HU"/>
        </w:rPr>
        <w:t xml:space="preserve"> would be allocated 10 more single-member mandates th</w:t>
      </w:r>
      <w:r w:rsidR="005100C7">
        <w:rPr>
          <w:rFonts w:ascii="Garamond" w:eastAsia="Times New Roman" w:hAnsi="Garamond"/>
          <w:sz w:val="24"/>
          <w:szCs w:val="24"/>
          <w:lang w:val="en-GB" w:eastAsia="hu-HU"/>
        </w:rPr>
        <w:t xml:space="preserve">an its rival, and </w:t>
      </w:r>
      <w:r w:rsidRPr="00775059">
        <w:rPr>
          <w:rFonts w:ascii="Garamond" w:eastAsia="Times New Roman" w:hAnsi="Garamond"/>
          <w:sz w:val="24"/>
          <w:szCs w:val="24"/>
          <w:lang w:val="en-GB" w:eastAsia="hu-HU"/>
        </w:rPr>
        <w:t>the new constituency map may also convert a slight governing-p</w:t>
      </w:r>
      <w:r w:rsidR="00725036">
        <w:rPr>
          <w:rFonts w:ascii="Garamond" w:eastAsia="Times New Roman" w:hAnsi="Garamond"/>
          <w:sz w:val="24"/>
          <w:szCs w:val="24"/>
          <w:lang w:val="en-GB" w:eastAsia="hu-HU"/>
        </w:rPr>
        <w:t>arty handicap into an advantage</w:t>
      </w:r>
      <w:r w:rsidR="00725036" w:rsidRPr="009851A8">
        <w:rPr>
          <w:rFonts w:ascii="Garamond" w:eastAsia="Times New Roman" w:hAnsi="Garamond"/>
          <w:sz w:val="24"/>
          <w:szCs w:val="24"/>
          <w:lang w:val="en-GB" w:eastAsia="hu-HU"/>
        </w:rPr>
        <w:t>.</w:t>
      </w:r>
    </w:p>
    <w:p w:rsidR="006D0FFB" w:rsidRPr="00725036" w:rsidRDefault="005100C7" w:rsidP="00A33A5B">
      <w:pPr>
        <w:pStyle w:val="Listaszerbekezds"/>
        <w:numPr>
          <w:ilvl w:val="0"/>
          <w:numId w:val="5"/>
        </w:numPr>
        <w:spacing w:before="120" w:after="120" w:line="240" w:lineRule="auto"/>
        <w:ind w:left="284" w:hanging="284"/>
        <w:contextualSpacing w:val="0"/>
        <w:jc w:val="both"/>
        <w:rPr>
          <w:rFonts w:ascii="Garamond" w:eastAsia="Times New Roman" w:hAnsi="Garamond"/>
          <w:sz w:val="24"/>
          <w:szCs w:val="24"/>
          <w:lang w:val="en-GB" w:eastAsia="hu-HU"/>
        </w:rPr>
      </w:pPr>
      <w:r>
        <w:rPr>
          <w:rFonts w:ascii="Garamond" w:eastAsia="Times New Roman" w:hAnsi="Garamond"/>
          <w:sz w:val="24"/>
          <w:szCs w:val="24"/>
          <w:lang w:val="en-GB" w:eastAsia="hu-HU"/>
        </w:rPr>
        <w:t xml:space="preserve">New election rules provide for a so-called </w:t>
      </w:r>
      <w:r>
        <w:rPr>
          <w:rFonts w:ascii="Garamond" w:eastAsia="Times New Roman" w:hAnsi="Garamond"/>
          <w:b/>
          <w:sz w:val="24"/>
          <w:szCs w:val="24"/>
          <w:lang w:val="en-GB" w:eastAsia="hu-HU"/>
        </w:rPr>
        <w:t>“w</w:t>
      </w:r>
      <w:r w:rsidR="00465B5A" w:rsidRPr="005100C7">
        <w:rPr>
          <w:rFonts w:ascii="Garamond" w:eastAsia="Times New Roman" w:hAnsi="Garamond"/>
          <w:b/>
          <w:sz w:val="24"/>
          <w:szCs w:val="24"/>
          <w:lang w:val="en-GB" w:eastAsia="hu-HU"/>
        </w:rPr>
        <w:t>inner compensation</w:t>
      </w:r>
      <w:r>
        <w:rPr>
          <w:rFonts w:ascii="Garamond" w:eastAsia="Times New Roman" w:hAnsi="Garamond"/>
          <w:b/>
          <w:sz w:val="24"/>
          <w:szCs w:val="24"/>
          <w:lang w:val="en-GB" w:eastAsia="hu-HU"/>
        </w:rPr>
        <w:t>”</w:t>
      </w:r>
      <w:r w:rsidR="00465B5A" w:rsidRPr="009851A8">
        <w:rPr>
          <w:rFonts w:ascii="Garamond" w:eastAsia="Times New Roman" w:hAnsi="Garamond"/>
          <w:sz w:val="24"/>
          <w:szCs w:val="24"/>
          <w:lang w:val="en-GB" w:eastAsia="hu-HU"/>
        </w:rPr>
        <w:t>:</w:t>
      </w:r>
      <w:r w:rsidR="00AC1E59" w:rsidRPr="009851A8">
        <w:rPr>
          <w:rFonts w:ascii="Garamond" w:eastAsia="Times New Roman" w:hAnsi="Garamond"/>
          <w:sz w:val="24"/>
          <w:szCs w:val="24"/>
          <w:lang w:val="en-GB" w:eastAsia="hu-HU"/>
        </w:rPr>
        <w:t xml:space="preserve"> </w:t>
      </w:r>
      <w:r>
        <w:rPr>
          <w:rFonts w:ascii="Garamond" w:eastAsia="Times New Roman" w:hAnsi="Garamond"/>
          <w:sz w:val="24"/>
          <w:szCs w:val="24"/>
          <w:lang w:val="en-GB" w:eastAsia="hu-HU"/>
        </w:rPr>
        <w:t xml:space="preserve">not only are </w:t>
      </w:r>
      <w:r w:rsidRPr="009851A8">
        <w:rPr>
          <w:rFonts w:ascii="Garamond" w:eastAsia="Times New Roman" w:hAnsi="Garamond"/>
          <w:sz w:val="24"/>
          <w:szCs w:val="24"/>
          <w:lang w:val="en-GB" w:eastAsia="hu-HU"/>
        </w:rPr>
        <w:t>votes for candidates that lo</w:t>
      </w:r>
      <w:r w:rsidR="00EB4204">
        <w:rPr>
          <w:rFonts w:ascii="Garamond" w:eastAsia="Times New Roman" w:hAnsi="Garamond"/>
          <w:sz w:val="24"/>
          <w:szCs w:val="24"/>
          <w:lang w:val="en-GB" w:eastAsia="hu-HU"/>
        </w:rPr>
        <w:t>o</w:t>
      </w:r>
      <w:r w:rsidRPr="009851A8">
        <w:rPr>
          <w:rFonts w:ascii="Garamond" w:eastAsia="Times New Roman" w:hAnsi="Garamond"/>
          <w:sz w:val="24"/>
          <w:szCs w:val="24"/>
          <w:lang w:val="en-GB" w:eastAsia="hu-HU"/>
        </w:rPr>
        <w:t>se in individual constituencies be added to the votes for the national lists, but also the votes for the winner that are not “used up” in gaining the individual seat in Parliament</w:t>
      </w:r>
      <w:r>
        <w:rPr>
          <w:rFonts w:ascii="Garamond" w:eastAsia="Times New Roman" w:hAnsi="Garamond"/>
          <w:sz w:val="24"/>
          <w:szCs w:val="24"/>
          <w:lang w:val="en-GB" w:eastAsia="hu-HU"/>
        </w:rPr>
        <w:t xml:space="preserve">. </w:t>
      </w:r>
      <w:r w:rsidR="00AC1E59" w:rsidRPr="005100C7">
        <w:rPr>
          <w:rFonts w:ascii="Garamond" w:eastAsia="Times New Roman" w:hAnsi="Garamond"/>
          <w:sz w:val="24"/>
          <w:szCs w:val="24"/>
          <w:lang w:val="en-GB" w:eastAsia="hu-HU"/>
        </w:rPr>
        <w:t>In other words, if the winner receives 20,000 and the runner-up 15,000 votes, the party fielding the winning candidate will be allocated 4</w:t>
      </w:r>
      <w:r>
        <w:rPr>
          <w:rFonts w:ascii="Garamond" w:eastAsia="Times New Roman" w:hAnsi="Garamond"/>
          <w:sz w:val="24"/>
          <w:szCs w:val="24"/>
          <w:lang w:val="en-GB" w:eastAsia="hu-HU"/>
        </w:rPr>
        <w:t>,</w:t>
      </w:r>
      <w:r w:rsidR="00AC1E59" w:rsidRPr="005100C7">
        <w:rPr>
          <w:rFonts w:ascii="Garamond" w:eastAsia="Times New Roman" w:hAnsi="Garamond"/>
          <w:sz w:val="24"/>
          <w:szCs w:val="24"/>
          <w:lang w:val="en-GB" w:eastAsia="hu-HU"/>
        </w:rPr>
        <w:t xml:space="preserve">999 </w:t>
      </w:r>
      <w:r>
        <w:rPr>
          <w:rFonts w:ascii="Garamond" w:eastAsia="Times New Roman" w:hAnsi="Garamond"/>
          <w:sz w:val="24"/>
          <w:szCs w:val="24"/>
          <w:lang w:val="en-GB" w:eastAsia="hu-HU"/>
        </w:rPr>
        <w:t xml:space="preserve">further </w:t>
      </w:r>
      <w:r w:rsidR="00AC1E59" w:rsidRPr="005100C7">
        <w:rPr>
          <w:rFonts w:ascii="Garamond" w:eastAsia="Times New Roman" w:hAnsi="Garamond"/>
          <w:sz w:val="24"/>
          <w:szCs w:val="24"/>
          <w:lang w:val="en-GB" w:eastAsia="hu-HU"/>
        </w:rPr>
        <w:t>fractional votes.</w:t>
      </w:r>
      <w:r>
        <w:rPr>
          <w:rFonts w:ascii="Garamond" w:eastAsia="Times New Roman" w:hAnsi="Garamond"/>
          <w:sz w:val="24"/>
          <w:szCs w:val="24"/>
          <w:lang w:val="en-GB" w:eastAsia="hu-HU"/>
        </w:rPr>
        <w:t xml:space="preserve"> This method brought </w:t>
      </w:r>
      <w:r w:rsidRPr="00304421">
        <w:rPr>
          <w:rFonts w:ascii="Garamond" w:eastAsia="Times New Roman" w:hAnsi="Garamond"/>
          <w:b/>
          <w:sz w:val="24"/>
          <w:szCs w:val="24"/>
          <w:lang w:val="en-GB" w:eastAsia="hu-HU"/>
        </w:rPr>
        <w:t>six extra mandates</w:t>
      </w:r>
      <w:r w:rsidR="00725036">
        <w:rPr>
          <w:rFonts w:ascii="Garamond" w:eastAsia="Times New Roman" w:hAnsi="Garamond"/>
          <w:sz w:val="24"/>
          <w:szCs w:val="24"/>
          <w:lang w:val="en-GB" w:eastAsia="hu-HU"/>
        </w:rPr>
        <w:t xml:space="preserve"> for </w:t>
      </w:r>
      <w:proofErr w:type="spellStart"/>
      <w:r>
        <w:rPr>
          <w:rFonts w:ascii="Garamond" w:eastAsia="Times New Roman" w:hAnsi="Garamond"/>
          <w:sz w:val="24"/>
          <w:szCs w:val="24"/>
          <w:lang w:val="en-GB" w:eastAsia="hu-HU"/>
        </w:rPr>
        <w:t>Fidesz</w:t>
      </w:r>
      <w:proofErr w:type="spellEnd"/>
      <w:r w:rsidR="000856AE">
        <w:rPr>
          <w:rFonts w:ascii="Garamond" w:eastAsia="Times New Roman" w:hAnsi="Garamond"/>
          <w:sz w:val="24"/>
          <w:szCs w:val="24"/>
          <w:lang w:val="en-GB" w:eastAsia="hu-HU"/>
        </w:rPr>
        <w:t>-KDNP</w:t>
      </w:r>
      <w:r w:rsidR="00725036">
        <w:rPr>
          <w:rFonts w:ascii="Garamond" w:eastAsia="Times New Roman" w:hAnsi="Garamond"/>
          <w:sz w:val="24"/>
          <w:szCs w:val="24"/>
          <w:lang w:val="en-GB" w:eastAsia="hu-HU"/>
        </w:rPr>
        <w:t xml:space="preserve"> in the 2014 national elections</w:t>
      </w:r>
      <w:r w:rsidR="00AC1E59" w:rsidRPr="00725036">
        <w:rPr>
          <w:rFonts w:ascii="Garamond" w:eastAsia="Times New Roman" w:hAnsi="Garamond"/>
          <w:sz w:val="24"/>
          <w:szCs w:val="24"/>
          <w:lang w:val="en-GB" w:eastAsia="hu-HU"/>
        </w:rPr>
        <w:t>.</w:t>
      </w:r>
      <w:r w:rsidR="00465B5A" w:rsidRPr="009851A8">
        <w:rPr>
          <w:rStyle w:val="Lbjegyzet-hivatkozs"/>
          <w:rFonts w:ascii="Garamond" w:eastAsia="Times New Roman" w:hAnsi="Garamond"/>
          <w:sz w:val="24"/>
          <w:szCs w:val="24"/>
          <w:lang w:val="en-GB" w:eastAsia="hu-HU"/>
        </w:rPr>
        <w:footnoteReference w:id="16"/>
      </w:r>
    </w:p>
    <w:p w:rsidR="00304421" w:rsidRPr="00304421" w:rsidRDefault="00304421" w:rsidP="00A33A5B">
      <w:pPr>
        <w:pStyle w:val="Listaszerbekezds"/>
        <w:numPr>
          <w:ilvl w:val="0"/>
          <w:numId w:val="5"/>
        </w:numPr>
        <w:spacing w:before="120" w:after="120" w:line="240" w:lineRule="auto"/>
        <w:ind w:left="284" w:hanging="284"/>
        <w:contextualSpacing w:val="0"/>
        <w:jc w:val="both"/>
        <w:rPr>
          <w:rFonts w:ascii="Garamond" w:eastAsia="Times New Roman" w:hAnsi="Garamond"/>
          <w:sz w:val="24"/>
          <w:szCs w:val="24"/>
          <w:lang w:val="en-GB" w:eastAsia="hu-HU"/>
        </w:rPr>
      </w:pPr>
      <w:r>
        <w:rPr>
          <w:rFonts w:ascii="Garamond" w:eastAsia="Times New Roman" w:hAnsi="Garamond"/>
          <w:sz w:val="24"/>
          <w:szCs w:val="24"/>
          <w:lang w:val="en-GB" w:eastAsia="hu-HU"/>
        </w:rPr>
        <w:t xml:space="preserve">As also confirmed by the </w:t>
      </w:r>
      <w:r w:rsidRPr="000856AE">
        <w:rPr>
          <w:rFonts w:ascii="Garamond" w:hAnsi="Garamond"/>
          <w:bCs/>
          <w:lang w:val="hu-HU"/>
        </w:rPr>
        <w:t>OSCE</w:t>
      </w:r>
      <w:r w:rsidRPr="000856AE">
        <w:rPr>
          <w:rFonts w:ascii="Garamond" w:hAnsi="Garamond"/>
          <w:bCs/>
          <w:lang w:val="en-GB"/>
        </w:rPr>
        <w:t>/ODIHR</w:t>
      </w:r>
      <w:r>
        <w:rPr>
          <w:rFonts w:ascii="Garamond" w:eastAsia="Times New Roman" w:hAnsi="Garamond"/>
          <w:sz w:val="24"/>
          <w:szCs w:val="24"/>
          <w:lang w:val="en-GB" w:eastAsia="hu-HU"/>
        </w:rPr>
        <w:t xml:space="preserve">, </w:t>
      </w:r>
      <w:r w:rsidR="00120D9B" w:rsidRPr="00304421">
        <w:rPr>
          <w:rFonts w:ascii="Garamond" w:eastAsia="Times New Roman" w:hAnsi="Garamond"/>
          <w:sz w:val="24"/>
          <w:szCs w:val="24"/>
          <w:lang w:eastAsia="hu-HU"/>
        </w:rPr>
        <w:t xml:space="preserve">“the main </w:t>
      </w:r>
      <w:r w:rsidR="00120D9B" w:rsidRPr="00E20181">
        <w:rPr>
          <w:rFonts w:ascii="Garamond" w:eastAsia="Times New Roman" w:hAnsi="Garamond"/>
          <w:b/>
          <w:sz w:val="24"/>
          <w:szCs w:val="24"/>
          <w:lang w:eastAsia="hu-HU"/>
        </w:rPr>
        <w:t>governing party enjoyed an undue advantage because of</w:t>
      </w:r>
      <w:r w:rsidR="00120D9B" w:rsidRPr="00304421">
        <w:rPr>
          <w:rFonts w:ascii="Garamond" w:eastAsia="Times New Roman" w:hAnsi="Garamond"/>
          <w:sz w:val="24"/>
          <w:szCs w:val="24"/>
          <w:lang w:eastAsia="hu-HU"/>
        </w:rPr>
        <w:t xml:space="preserve"> </w:t>
      </w:r>
      <w:r w:rsidR="00120D9B" w:rsidRPr="00304421">
        <w:rPr>
          <w:rFonts w:ascii="Garamond" w:eastAsia="Times New Roman" w:hAnsi="Garamond"/>
          <w:b/>
          <w:sz w:val="24"/>
          <w:szCs w:val="24"/>
          <w:lang w:eastAsia="hu-HU"/>
        </w:rPr>
        <w:t>re</w:t>
      </w:r>
      <w:r w:rsidRPr="00304421">
        <w:rPr>
          <w:rFonts w:ascii="Garamond" w:eastAsia="Times New Roman" w:hAnsi="Garamond"/>
          <w:b/>
          <w:sz w:val="24"/>
          <w:szCs w:val="24"/>
          <w:lang w:eastAsia="hu-HU"/>
        </w:rPr>
        <w:t>strictive campaign regulations</w:t>
      </w:r>
      <w:r>
        <w:rPr>
          <w:rFonts w:ascii="Garamond" w:eastAsia="Times New Roman" w:hAnsi="Garamond"/>
          <w:sz w:val="24"/>
          <w:szCs w:val="24"/>
          <w:lang w:eastAsia="hu-HU"/>
        </w:rPr>
        <w:t xml:space="preserve">” during the campaign </w:t>
      </w:r>
      <w:r w:rsidR="00F9020B">
        <w:rPr>
          <w:rFonts w:ascii="Garamond" w:eastAsia="Times New Roman" w:hAnsi="Garamond"/>
          <w:sz w:val="24"/>
          <w:szCs w:val="24"/>
          <w:lang w:eastAsia="hu-HU"/>
        </w:rPr>
        <w:t>for the national elections.</w:t>
      </w:r>
      <w:r w:rsidR="00120D9B" w:rsidRPr="00304421">
        <w:rPr>
          <w:rFonts w:ascii="Garamond" w:eastAsia="Times New Roman" w:hAnsi="Garamond"/>
          <w:sz w:val="24"/>
          <w:szCs w:val="24"/>
          <w:lang w:eastAsia="hu-HU"/>
        </w:rPr>
        <w:t xml:space="preserve"> </w:t>
      </w:r>
    </w:p>
    <w:p w:rsidR="001913F4" w:rsidRPr="001913F4" w:rsidRDefault="006D0FFB" w:rsidP="00A33A5B">
      <w:pPr>
        <w:pStyle w:val="Listaszerbekezds"/>
        <w:numPr>
          <w:ilvl w:val="0"/>
          <w:numId w:val="44"/>
        </w:numPr>
        <w:spacing w:before="120" w:after="120" w:line="240" w:lineRule="auto"/>
        <w:contextualSpacing w:val="0"/>
        <w:jc w:val="both"/>
        <w:rPr>
          <w:rFonts w:ascii="Garamond" w:eastAsia="Times New Roman" w:hAnsi="Garamond"/>
          <w:sz w:val="24"/>
          <w:szCs w:val="24"/>
          <w:lang w:eastAsia="hu-HU"/>
        </w:rPr>
      </w:pPr>
      <w:r w:rsidRPr="00304421">
        <w:rPr>
          <w:rFonts w:ascii="Garamond" w:eastAsia="Times New Roman" w:hAnsi="Garamond"/>
          <w:sz w:val="24"/>
          <w:szCs w:val="24"/>
          <w:lang w:val="en-GB" w:eastAsia="hu-HU"/>
        </w:rPr>
        <w:t xml:space="preserve">The Fourth and Fifth Amendment to the Fundamental Law created a situation where </w:t>
      </w:r>
      <w:r w:rsidRPr="00304421">
        <w:rPr>
          <w:rFonts w:ascii="Garamond" w:eastAsia="Times New Roman" w:hAnsi="Garamond"/>
          <w:b/>
          <w:sz w:val="24"/>
          <w:szCs w:val="24"/>
          <w:lang w:val="en-GB" w:eastAsia="hu-HU"/>
        </w:rPr>
        <w:t>campaign for political parties is practically restricted to the public media</w:t>
      </w:r>
      <w:r w:rsidR="001913F4">
        <w:rPr>
          <w:rFonts w:ascii="Garamond" w:eastAsia="Times New Roman" w:hAnsi="Garamond"/>
          <w:sz w:val="24"/>
          <w:szCs w:val="24"/>
          <w:lang w:val="en-GB" w:eastAsia="hu-HU"/>
        </w:rPr>
        <w:t>:</w:t>
      </w:r>
      <w:r w:rsidR="00304421">
        <w:rPr>
          <w:rStyle w:val="Lbjegyzet-hivatkozs"/>
          <w:rFonts w:ascii="Garamond" w:eastAsia="Times New Roman" w:hAnsi="Garamond"/>
          <w:sz w:val="24"/>
          <w:szCs w:val="24"/>
          <w:lang w:val="en-GB" w:eastAsia="hu-HU"/>
        </w:rPr>
        <w:footnoteReference w:id="17"/>
      </w:r>
      <w:r w:rsidR="001913F4">
        <w:rPr>
          <w:rFonts w:ascii="Garamond" w:eastAsia="Times New Roman" w:hAnsi="Garamond"/>
          <w:sz w:val="24"/>
          <w:szCs w:val="24"/>
          <w:lang w:val="en-GB" w:eastAsia="hu-HU"/>
        </w:rPr>
        <w:t xml:space="preserve"> </w:t>
      </w:r>
      <w:r w:rsidR="001913F4">
        <w:rPr>
          <w:rFonts w:ascii="Garamond" w:eastAsia="Times New Roman" w:hAnsi="Garamond"/>
          <w:sz w:val="24"/>
          <w:szCs w:val="24"/>
          <w:lang w:eastAsia="hu-HU"/>
        </w:rPr>
        <w:t xml:space="preserve">the elimination of profit, i.e. that </w:t>
      </w:r>
      <w:r w:rsidR="001913F4" w:rsidRPr="001913F4">
        <w:rPr>
          <w:rFonts w:ascii="Garamond" w:eastAsia="Times New Roman" w:hAnsi="Garamond"/>
          <w:sz w:val="24"/>
          <w:szCs w:val="24"/>
          <w:lang w:eastAsia="hu-HU"/>
        </w:rPr>
        <w:t xml:space="preserve">commercial media outlets may only broadcast political ads for free, </w:t>
      </w:r>
      <w:r w:rsidR="001913F4">
        <w:rPr>
          <w:rFonts w:ascii="Garamond" w:eastAsia="Times New Roman" w:hAnsi="Garamond"/>
          <w:sz w:val="24"/>
          <w:szCs w:val="24"/>
          <w:lang w:eastAsia="hu-HU"/>
        </w:rPr>
        <w:t xml:space="preserve">resulted that none </w:t>
      </w:r>
      <w:r w:rsidR="001913F4" w:rsidRPr="001913F4">
        <w:rPr>
          <w:rFonts w:ascii="Garamond" w:eastAsia="Times New Roman" w:hAnsi="Garamond"/>
          <w:sz w:val="24"/>
          <w:szCs w:val="24"/>
          <w:lang w:eastAsia="hu-HU"/>
        </w:rPr>
        <w:t>of the commercial media outlets with a national coverage chose to undertake to broadcast political advertisements up to the respective deadline.</w:t>
      </w:r>
      <w:r w:rsidR="001913F4">
        <w:rPr>
          <w:rFonts w:ascii="Garamond" w:eastAsia="Times New Roman" w:hAnsi="Garamond"/>
          <w:sz w:val="24"/>
          <w:szCs w:val="24"/>
          <w:lang w:eastAsia="hu-HU"/>
        </w:rPr>
        <w:t xml:space="preserve"> T</w:t>
      </w:r>
      <w:r w:rsidR="000438A7">
        <w:rPr>
          <w:rFonts w:ascii="Garamond" w:eastAsia="Times New Roman" w:hAnsi="Garamond"/>
          <w:sz w:val="24"/>
          <w:szCs w:val="24"/>
          <w:lang w:eastAsia="hu-HU"/>
        </w:rPr>
        <w:t xml:space="preserve">his, </w:t>
      </w:r>
      <w:r w:rsidR="00EB6EC2">
        <w:rPr>
          <w:rFonts w:ascii="Garamond" w:eastAsia="Times New Roman" w:hAnsi="Garamond"/>
          <w:sz w:val="24"/>
          <w:szCs w:val="24"/>
          <w:lang w:eastAsia="hu-HU"/>
        </w:rPr>
        <w:t>taken</w:t>
      </w:r>
      <w:r w:rsidR="00EB4204">
        <w:rPr>
          <w:rFonts w:ascii="Garamond" w:eastAsia="Times New Roman" w:hAnsi="Garamond"/>
          <w:sz w:val="24"/>
          <w:szCs w:val="24"/>
          <w:lang w:eastAsia="hu-HU"/>
        </w:rPr>
        <w:t xml:space="preserve"> </w:t>
      </w:r>
      <w:r w:rsidR="001913F4">
        <w:rPr>
          <w:rFonts w:ascii="Garamond" w:eastAsia="Times New Roman" w:hAnsi="Garamond"/>
          <w:sz w:val="24"/>
          <w:szCs w:val="24"/>
          <w:lang w:eastAsia="hu-HU"/>
        </w:rPr>
        <w:t xml:space="preserve">together with the fact </w:t>
      </w:r>
      <w:r w:rsidR="001913F4">
        <w:rPr>
          <w:rFonts w:ascii="Garamond" w:hAnsi="Garamond"/>
          <w:sz w:val="24"/>
          <w:szCs w:val="24"/>
          <w:lang w:val="en-GB"/>
        </w:rPr>
        <w:t xml:space="preserve">that </w:t>
      </w:r>
      <w:r w:rsidR="001913F4" w:rsidRPr="001913F4">
        <w:rPr>
          <w:rFonts w:ascii="Garamond" w:hAnsi="Garamond"/>
          <w:sz w:val="24"/>
          <w:szCs w:val="24"/>
          <w:lang w:val="en-GB"/>
        </w:rPr>
        <w:t xml:space="preserve">the </w:t>
      </w:r>
      <w:r w:rsidR="00EB4204">
        <w:rPr>
          <w:rFonts w:ascii="Garamond" w:hAnsi="Garamond"/>
          <w:sz w:val="24"/>
          <w:szCs w:val="24"/>
          <w:lang w:val="en-GB"/>
        </w:rPr>
        <w:t>public (</w:t>
      </w:r>
      <w:r w:rsidR="001913F4" w:rsidRPr="001913F4">
        <w:rPr>
          <w:rFonts w:ascii="Garamond" w:hAnsi="Garamond"/>
          <w:sz w:val="24"/>
          <w:szCs w:val="24"/>
          <w:lang w:val="en-GB"/>
        </w:rPr>
        <w:t>state</w:t>
      </w:r>
      <w:r w:rsidR="00EB4204">
        <w:rPr>
          <w:rFonts w:ascii="Garamond" w:hAnsi="Garamond"/>
          <w:sz w:val="24"/>
          <w:szCs w:val="24"/>
          <w:lang w:val="en-GB"/>
        </w:rPr>
        <w:t>)</w:t>
      </w:r>
      <w:r w:rsidR="001913F4" w:rsidRPr="001913F4">
        <w:rPr>
          <w:rFonts w:ascii="Garamond" w:hAnsi="Garamond"/>
          <w:sz w:val="24"/>
          <w:szCs w:val="24"/>
          <w:lang w:val="en-GB"/>
        </w:rPr>
        <w:t xml:space="preserve"> media is government-leaning, resulted in an uneven media representation that unduly favoured the governing </w:t>
      </w:r>
      <w:proofErr w:type="spellStart"/>
      <w:r w:rsidR="001913F4" w:rsidRPr="001913F4">
        <w:rPr>
          <w:rFonts w:ascii="Garamond" w:hAnsi="Garamond"/>
          <w:sz w:val="24"/>
          <w:szCs w:val="24"/>
          <w:lang w:val="en-GB"/>
        </w:rPr>
        <w:t>Fidesz</w:t>
      </w:r>
      <w:proofErr w:type="spellEnd"/>
      <w:r w:rsidR="001913F4" w:rsidRPr="001913F4">
        <w:rPr>
          <w:rFonts w:ascii="Garamond" w:hAnsi="Garamond"/>
          <w:sz w:val="24"/>
          <w:szCs w:val="24"/>
          <w:lang w:val="en-GB"/>
        </w:rPr>
        <w:t xml:space="preserve"> party and its candidates. </w:t>
      </w:r>
    </w:p>
    <w:p w:rsidR="00F9020B" w:rsidRDefault="006D0FFB" w:rsidP="00A33A5B">
      <w:pPr>
        <w:pStyle w:val="Listaszerbekezds"/>
        <w:numPr>
          <w:ilvl w:val="0"/>
          <w:numId w:val="44"/>
        </w:numPr>
        <w:spacing w:before="120" w:after="120" w:line="240" w:lineRule="auto"/>
        <w:contextualSpacing w:val="0"/>
        <w:jc w:val="both"/>
        <w:rPr>
          <w:rFonts w:ascii="Garamond" w:eastAsia="Times New Roman" w:hAnsi="Garamond"/>
          <w:sz w:val="24"/>
          <w:szCs w:val="24"/>
          <w:lang w:eastAsia="hu-HU"/>
        </w:rPr>
      </w:pPr>
      <w:r w:rsidRPr="00304421">
        <w:rPr>
          <w:rFonts w:ascii="Garamond" w:eastAsia="Times New Roman" w:hAnsi="Garamond"/>
          <w:sz w:val="24"/>
          <w:szCs w:val="24"/>
          <w:lang w:val="en-GB" w:eastAsia="hu-HU"/>
        </w:rPr>
        <w:t xml:space="preserve">At the same time, </w:t>
      </w:r>
      <w:r w:rsidRPr="00304421">
        <w:rPr>
          <w:rFonts w:ascii="Garamond" w:eastAsia="Times New Roman" w:hAnsi="Garamond"/>
          <w:b/>
          <w:sz w:val="24"/>
          <w:szCs w:val="24"/>
          <w:lang w:val="en-GB" w:eastAsia="hu-HU"/>
        </w:rPr>
        <w:t>government advertisements were aired</w:t>
      </w:r>
      <w:r w:rsidRPr="00304421">
        <w:rPr>
          <w:rFonts w:ascii="Garamond" w:eastAsia="Times New Roman" w:hAnsi="Garamond"/>
          <w:sz w:val="24"/>
          <w:szCs w:val="24"/>
          <w:lang w:val="en-GB" w:eastAsia="hu-HU"/>
        </w:rPr>
        <w:t xml:space="preserve"> on one of the commercial television</w:t>
      </w:r>
      <w:r w:rsidR="00EB4204">
        <w:rPr>
          <w:rFonts w:ascii="Garamond" w:eastAsia="Times New Roman" w:hAnsi="Garamond"/>
          <w:sz w:val="24"/>
          <w:szCs w:val="24"/>
          <w:lang w:val="en-GB" w:eastAsia="hu-HU"/>
        </w:rPr>
        <w:t xml:space="preserve"> channels</w:t>
      </w:r>
      <w:r w:rsidR="00304421">
        <w:rPr>
          <w:rFonts w:ascii="Garamond" w:eastAsia="Times New Roman" w:hAnsi="Garamond"/>
          <w:sz w:val="24"/>
          <w:szCs w:val="24"/>
          <w:lang w:val="en-GB" w:eastAsia="hu-HU"/>
        </w:rPr>
        <w:t>, t</w:t>
      </w:r>
      <w:r w:rsidRPr="00304421">
        <w:rPr>
          <w:rFonts w:ascii="Garamond" w:eastAsia="Times New Roman" w:hAnsi="Garamond"/>
          <w:sz w:val="24"/>
          <w:szCs w:val="24"/>
          <w:lang w:val="en-GB" w:eastAsia="hu-HU"/>
        </w:rPr>
        <w:t xml:space="preserve">he campaign spot in question </w:t>
      </w:r>
      <w:r w:rsidR="00304421">
        <w:rPr>
          <w:rFonts w:ascii="Garamond" w:eastAsia="Times New Roman" w:hAnsi="Garamond"/>
          <w:sz w:val="24"/>
          <w:szCs w:val="24"/>
          <w:lang w:val="en-GB" w:eastAsia="hu-HU"/>
        </w:rPr>
        <w:t xml:space="preserve">being </w:t>
      </w:r>
      <w:r w:rsidRPr="00304421">
        <w:rPr>
          <w:rFonts w:ascii="Garamond" w:eastAsia="Times New Roman" w:hAnsi="Garamond"/>
          <w:sz w:val="24"/>
          <w:szCs w:val="24"/>
          <w:lang w:val="en-GB" w:eastAsia="hu-HU"/>
        </w:rPr>
        <w:t xml:space="preserve">composed of the same types of slogan and visual elements as an </w:t>
      </w:r>
      <w:r w:rsidRPr="00304421">
        <w:rPr>
          <w:rFonts w:ascii="Garamond" w:eastAsia="Times New Roman" w:hAnsi="Garamond"/>
          <w:sz w:val="24"/>
          <w:szCs w:val="24"/>
          <w:lang w:val="en-GB" w:eastAsia="hu-HU"/>
        </w:rPr>
        <w:lastRenderedPageBreak/>
        <w:t>advertis</w:t>
      </w:r>
      <w:r w:rsidR="000438A7">
        <w:rPr>
          <w:rFonts w:ascii="Garamond" w:eastAsia="Times New Roman" w:hAnsi="Garamond"/>
          <w:sz w:val="24"/>
          <w:szCs w:val="24"/>
          <w:lang w:val="en-GB" w:eastAsia="hu-HU"/>
        </w:rPr>
        <w:t>ement</w:t>
      </w:r>
      <w:r w:rsidR="00EB4204">
        <w:rPr>
          <w:rFonts w:ascii="Garamond" w:eastAsia="Times New Roman" w:hAnsi="Garamond"/>
          <w:sz w:val="24"/>
          <w:szCs w:val="24"/>
          <w:lang w:val="en-GB" w:eastAsia="hu-HU"/>
        </w:rPr>
        <w:t xml:space="preserve"> of the governing coalition, but</w:t>
      </w:r>
      <w:r w:rsidR="000438A7">
        <w:rPr>
          <w:rFonts w:ascii="Garamond" w:eastAsia="Times New Roman" w:hAnsi="Garamond"/>
          <w:sz w:val="24"/>
          <w:szCs w:val="24"/>
          <w:lang w:val="en-GB" w:eastAsia="hu-HU"/>
        </w:rPr>
        <w:t xml:space="preserve"> </w:t>
      </w:r>
      <w:r w:rsidRPr="00304421">
        <w:rPr>
          <w:rFonts w:ascii="Garamond" w:eastAsia="Times New Roman" w:hAnsi="Garamond"/>
          <w:sz w:val="24"/>
          <w:szCs w:val="24"/>
          <w:lang w:val="en-GB" w:eastAsia="hu-HU"/>
        </w:rPr>
        <w:t>the National Election Committee ruled that th</w:t>
      </w:r>
      <w:r w:rsidR="00EB4204">
        <w:rPr>
          <w:rFonts w:ascii="Garamond" w:eastAsia="Times New Roman" w:hAnsi="Garamond"/>
          <w:sz w:val="24"/>
          <w:szCs w:val="24"/>
          <w:lang w:val="en-GB" w:eastAsia="hu-HU"/>
        </w:rPr>
        <w:t>e advertisement broadcast did</w:t>
      </w:r>
      <w:r w:rsidRPr="00304421">
        <w:rPr>
          <w:rFonts w:ascii="Garamond" w:eastAsia="Times New Roman" w:hAnsi="Garamond"/>
          <w:sz w:val="24"/>
          <w:szCs w:val="24"/>
          <w:lang w:val="en-GB" w:eastAsia="hu-HU"/>
        </w:rPr>
        <w:t xml:space="preserve"> not quali</w:t>
      </w:r>
      <w:r w:rsidR="000438A7">
        <w:rPr>
          <w:rFonts w:ascii="Garamond" w:eastAsia="Times New Roman" w:hAnsi="Garamond"/>
          <w:sz w:val="24"/>
          <w:szCs w:val="24"/>
          <w:lang w:val="en-GB" w:eastAsia="hu-HU"/>
        </w:rPr>
        <w:t>fy as a political campaign spot</w:t>
      </w:r>
      <w:r w:rsidRPr="00304421">
        <w:rPr>
          <w:rFonts w:ascii="Garamond" w:eastAsia="Times New Roman" w:hAnsi="Garamond"/>
          <w:sz w:val="24"/>
          <w:szCs w:val="24"/>
          <w:lang w:val="en-GB" w:eastAsia="hu-HU"/>
        </w:rPr>
        <w:t>.</w:t>
      </w:r>
      <w:r w:rsidR="00304421">
        <w:rPr>
          <w:rFonts w:ascii="Garamond" w:eastAsia="Times New Roman" w:hAnsi="Garamond"/>
          <w:sz w:val="24"/>
          <w:szCs w:val="24"/>
          <w:lang w:val="en-GB" w:eastAsia="hu-HU"/>
        </w:rPr>
        <w:t xml:space="preserve"> </w:t>
      </w:r>
      <w:r w:rsidR="000438A7">
        <w:rPr>
          <w:rFonts w:ascii="Garamond" w:eastAsia="Times New Roman" w:hAnsi="Garamond"/>
          <w:sz w:val="24"/>
          <w:szCs w:val="24"/>
          <w:lang w:val="en-GB" w:eastAsia="hu-HU"/>
        </w:rPr>
        <w:t>However, i</w:t>
      </w:r>
      <w:r w:rsidR="00304421">
        <w:rPr>
          <w:rFonts w:ascii="Garamond" w:eastAsia="Times New Roman" w:hAnsi="Garamond"/>
          <w:sz w:val="24"/>
          <w:szCs w:val="24"/>
          <w:lang w:val="en-GB" w:eastAsia="hu-HU"/>
        </w:rPr>
        <w:t xml:space="preserve">n the view of the OSCE/ODIHR </w:t>
      </w:r>
      <w:r w:rsidR="000438A7">
        <w:rPr>
          <w:rFonts w:ascii="Garamond" w:eastAsia="Times New Roman" w:hAnsi="Garamond"/>
          <w:sz w:val="24"/>
          <w:szCs w:val="24"/>
          <w:lang w:eastAsia="hu-HU"/>
        </w:rPr>
        <w:t xml:space="preserve">the </w:t>
      </w:r>
      <w:r w:rsidR="00304421" w:rsidRPr="00304421">
        <w:rPr>
          <w:rFonts w:ascii="Garamond" w:eastAsia="Times New Roman" w:hAnsi="Garamond"/>
          <w:sz w:val="24"/>
          <w:szCs w:val="24"/>
          <w:lang w:eastAsia="hu-HU"/>
        </w:rPr>
        <w:t>use of government advertisements that were almost i</w:t>
      </w:r>
      <w:r w:rsidR="00304421">
        <w:rPr>
          <w:rFonts w:ascii="Garamond" w:eastAsia="Times New Roman" w:hAnsi="Garamond"/>
          <w:sz w:val="24"/>
          <w:szCs w:val="24"/>
          <w:lang w:eastAsia="hu-HU"/>
        </w:rPr>
        <w:t xml:space="preserve">dentical to those of the </w:t>
      </w:r>
      <w:proofErr w:type="spellStart"/>
      <w:r w:rsidR="00304421">
        <w:rPr>
          <w:rFonts w:ascii="Garamond" w:eastAsia="Times New Roman" w:hAnsi="Garamond"/>
          <w:sz w:val="24"/>
          <w:szCs w:val="24"/>
          <w:lang w:eastAsia="hu-HU"/>
        </w:rPr>
        <w:t>Fidesz</w:t>
      </w:r>
      <w:proofErr w:type="spellEnd"/>
      <w:r w:rsidR="00304421">
        <w:rPr>
          <w:rFonts w:ascii="Garamond" w:eastAsia="Times New Roman" w:hAnsi="Garamond"/>
          <w:sz w:val="24"/>
          <w:szCs w:val="24"/>
          <w:lang w:eastAsia="hu-HU"/>
        </w:rPr>
        <w:t xml:space="preserve"> </w:t>
      </w:r>
      <w:r w:rsidR="000438A7">
        <w:rPr>
          <w:rFonts w:ascii="Garamond" w:eastAsia="Times New Roman" w:hAnsi="Garamond"/>
          <w:sz w:val="24"/>
          <w:szCs w:val="24"/>
          <w:lang w:eastAsia="hu-HU"/>
        </w:rPr>
        <w:t>“</w:t>
      </w:r>
      <w:r w:rsidR="00304421" w:rsidRPr="00304421">
        <w:rPr>
          <w:rFonts w:ascii="Garamond" w:eastAsia="Times New Roman" w:hAnsi="Garamond"/>
          <w:sz w:val="24"/>
          <w:szCs w:val="24"/>
          <w:lang w:eastAsia="hu-HU"/>
        </w:rPr>
        <w:t xml:space="preserve">contributed to an </w:t>
      </w:r>
      <w:r w:rsidR="00304421" w:rsidRPr="00304421">
        <w:rPr>
          <w:rFonts w:ascii="Garamond" w:eastAsia="Times New Roman" w:hAnsi="Garamond"/>
          <w:b/>
          <w:sz w:val="24"/>
          <w:szCs w:val="24"/>
          <w:lang w:eastAsia="hu-HU"/>
        </w:rPr>
        <w:t>uneven playing field</w:t>
      </w:r>
      <w:r w:rsidR="00304421" w:rsidRPr="00304421">
        <w:rPr>
          <w:rFonts w:ascii="Garamond" w:eastAsia="Times New Roman" w:hAnsi="Garamond"/>
          <w:sz w:val="24"/>
          <w:szCs w:val="24"/>
          <w:lang w:eastAsia="hu-HU"/>
        </w:rPr>
        <w:t xml:space="preserve"> and </w:t>
      </w:r>
      <w:r w:rsidR="00304421" w:rsidRPr="00304421">
        <w:rPr>
          <w:rFonts w:ascii="Garamond" w:eastAsia="Times New Roman" w:hAnsi="Garamond"/>
          <w:b/>
          <w:sz w:val="24"/>
          <w:szCs w:val="24"/>
          <w:lang w:eastAsia="hu-HU"/>
        </w:rPr>
        <w:t>did not fully respect the separation of party and state</w:t>
      </w:r>
      <w:r w:rsidR="00304421" w:rsidRPr="00304421">
        <w:rPr>
          <w:rFonts w:ascii="Garamond" w:eastAsia="Times New Roman" w:hAnsi="Garamond"/>
          <w:sz w:val="24"/>
          <w:szCs w:val="24"/>
          <w:lang w:eastAsia="hu-HU"/>
        </w:rPr>
        <w:t>”.</w:t>
      </w:r>
      <w:r w:rsidR="00EB6EC2">
        <w:rPr>
          <w:rFonts w:ascii="Garamond" w:eastAsia="Times New Roman" w:hAnsi="Garamond"/>
          <w:sz w:val="24"/>
          <w:szCs w:val="24"/>
          <w:lang w:eastAsia="hu-HU"/>
        </w:rPr>
        <w:t xml:space="preserve"> The Curia also concluded that due to the practical identity the government’s information campaign was a covert political campaign of the governing party, so it banned the TV channel from broadcasting the material.</w:t>
      </w:r>
    </w:p>
    <w:p w:rsidR="000438A7" w:rsidRPr="000438A7" w:rsidRDefault="006D0FFB" w:rsidP="00A33A5B">
      <w:pPr>
        <w:pStyle w:val="Listaszerbekezds"/>
        <w:numPr>
          <w:ilvl w:val="0"/>
          <w:numId w:val="44"/>
        </w:numPr>
        <w:spacing w:before="120" w:after="120" w:line="240" w:lineRule="auto"/>
        <w:contextualSpacing w:val="0"/>
        <w:jc w:val="both"/>
        <w:rPr>
          <w:rFonts w:ascii="Garamond" w:eastAsia="Times New Roman" w:hAnsi="Garamond"/>
          <w:sz w:val="24"/>
          <w:szCs w:val="24"/>
          <w:lang w:eastAsia="hu-HU"/>
        </w:rPr>
      </w:pPr>
      <w:r w:rsidRPr="00F9020B">
        <w:rPr>
          <w:rFonts w:ascii="Garamond" w:eastAsia="Times New Roman" w:hAnsi="Garamond"/>
          <w:sz w:val="24"/>
          <w:szCs w:val="24"/>
          <w:lang w:val="en-GB" w:eastAsia="hu-HU"/>
        </w:rPr>
        <w:t>A new governmental decree</w:t>
      </w:r>
      <w:r w:rsidR="000B20B8">
        <w:rPr>
          <w:rFonts w:ascii="Garamond" w:eastAsia="Times New Roman" w:hAnsi="Garamond"/>
          <w:sz w:val="24"/>
          <w:szCs w:val="24"/>
          <w:lang w:val="en-GB" w:eastAsia="hu-HU"/>
        </w:rPr>
        <w:t>, adopted only in January 2014</w:t>
      </w:r>
      <w:r w:rsidR="00EB4204">
        <w:rPr>
          <w:rFonts w:ascii="Garamond" w:eastAsia="Times New Roman" w:hAnsi="Garamond"/>
          <w:sz w:val="24"/>
          <w:szCs w:val="24"/>
          <w:lang w:val="en-GB" w:eastAsia="hu-HU"/>
        </w:rPr>
        <w:t>,</w:t>
      </w:r>
      <w:r w:rsidRPr="00F9020B">
        <w:rPr>
          <w:rFonts w:ascii="Garamond" w:eastAsia="Times New Roman" w:hAnsi="Garamond"/>
          <w:sz w:val="24"/>
          <w:szCs w:val="24"/>
          <w:lang w:val="en-GB" w:eastAsia="hu-HU"/>
        </w:rPr>
        <w:t xml:space="preserve"> </w:t>
      </w:r>
      <w:r w:rsidR="005C7A99">
        <w:rPr>
          <w:rFonts w:ascii="Garamond" w:eastAsia="Times New Roman" w:hAnsi="Garamond"/>
          <w:sz w:val="24"/>
          <w:szCs w:val="24"/>
          <w:lang w:val="en-GB" w:eastAsia="hu-HU"/>
        </w:rPr>
        <w:t xml:space="preserve">imposed </w:t>
      </w:r>
      <w:r w:rsidR="00C304B0" w:rsidRPr="000B20B8">
        <w:rPr>
          <w:rFonts w:ascii="Garamond" w:eastAsia="Times New Roman" w:hAnsi="Garamond"/>
          <w:b/>
          <w:sz w:val="24"/>
          <w:szCs w:val="24"/>
          <w:lang w:val="en-GB" w:eastAsia="hu-HU"/>
        </w:rPr>
        <w:t>restrictions on</w:t>
      </w:r>
      <w:r w:rsidR="00C304B0" w:rsidRPr="000B20B8">
        <w:rPr>
          <w:rFonts w:ascii="Garamond" w:eastAsia="Times New Roman" w:hAnsi="Garamond"/>
          <w:sz w:val="24"/>
          <w:szCs w:val="24"/>
          <w:lang w:val="en-GB" w:eastAsia="hu-HU"/>
        </w:rPr>
        <w:t xml:space="preserve"> </w:t>
      </w:r>
      <w:r w:rsidR="00A33A5B" w:rsidRPr="00A33A5B">
        <w:rPr>
          <w:rFonts w:ascii="Garamond" w:eastAsia="Times New Roman" w:hAnsi="Garamond"/>
          <w:b/>
          <w:sz w:val="24"/>
          <w:szCs w:val="24"/>
          <w:lang w:val="en-GB" w:eastAsia="hu-HU"/>
        </w:rPr>
        <w:t>the placement of</w:t>
      </w:r>
      <w:r w:rsidR="00A33A5B">
        <w:rPr>
          <w:rFonts w:ascii="Garamond" w:eastAsia="Times New Roman" w:hAnsi="Garamond"/>
          <w:sz w:val="24"/>
          <w:szCs w:val="24"/>
          <w:lang w:val="en-GB" w:eastAsia="hu-HU"/>
        </w:rPr>
        <w:t xml:space="preserve"> </w:t>
      </w:r>
      <w:r w:rsidR="00C304B0" w:rsidRPr="000B20B8">
        <w:rPr>
          <w:rFonts w:ascii="Garamond" w:eastAsia="Times New Roman" w:hAnsi="Garamond"/>
          <w:b/>
          <w:sz w:val="24"/>
          <w:szCs w:val="24"/>
          <w:lang w:val="en-GB" w:eastAsia="hu-HU"/>
        </w:rPr>
        <w:t>electoral posters</w:t>
      </w:r>
      <w:r w:rsidR="001913F4">
        <w:rPr>
          <w:rFonts w:ascii="Garamond" w:eastAsia="Times New Roman" w:hAnsi="Garamond"/>
          <w:sz w:val="24"/>
          <w:szCs w:val="24"/>
          <w:lang w:val="en-GB" w:eastAsia="hu-HU"/>
        </w:rPr>
        <w:t>.</w:t>
      </w:r>
      <w:r w:rsidR="00C304B0" w:rsidRPr="00A33A5B">
        <w:rPr>
          <w:rFonts w:ascii="Garamond" w:eastAsia="Times New Roman" w:hAnsi="Garamond"/>
          <w:sz w:val="24"/>
          <w:szCs w:val="24"/>
          <w:lang w:val="en-GB" w:eastAsia="hu-HU"/>
        </w:rPr>
        <w:t xml:space="preserve"> </w:t>
      </w:r>
      <w:r w:rsidR="00A33A5B" w:rsidRPr="00A33A5B">
        <w:rPr>
          <w:rFonts w:ascii="Garamond" w:eastAsia="Times New Roman" w:hAnsi="Garamond"/>
          <w:sz w:val="24"/>
          <w:szCs w:val="24"/>
          <w:lang w:val="en-GB" w:eastAsia="hu-HU"/>
        </w:rPr>
        <w:t>R</w:t>
      </w:r>
      <w:r w:rsidR="00C304B0" w:rsidRPr="00A33A5B">
        <w:rPr>
          <w:rFonts w:ascii="Garamond" w:eastAsia="Times New Roman" w:hAnsi="Garamond"/>
          <w:sz w:val="24"/>
          <w:szCs w:val="24"/>
          <w:lang w:val="en-GB" w:eastAsia="hu-HU"/>
        </w:rPr>
        <w:t>estrictions</w:t>
      </w:r>
      <w:r w:rsidR="00C304B0" w:rsidRPr="000B20B8">
        <w:rPr>
          <w:rFonts w:ascii="Garamond" w:eastAsia="Times New Roman" w:hAnsi="Garamond"/>
          <w:b/>
          <w:sz w:val="24"/>
          <w:szCs w:val="24"/>
          <w:lang w:val="en-GB" w:eastAsia="hu-HU"/>
        </w:rPr>
        <w:t xml:space="preserve"> did not apply to posters of the government</w:t>
      </w:r>
      <w:r w:rsidR="00C304B0" w:rsidRPr="000B20B8">
        <w:rPr>
          <w:rFonts w:ascii="Garamond" w:eastAsia="Times New Roman" w:hAnsi="Garamond"/>
          <w:sz w:val="24"/>
          <w:szCs w:val="24"/>
          <w:lang w:val="en-GB" w:eastAsia="hu-HU"/>
        </w:rPr>
        <w:t>, “advertising” government aims and results (of course correspond</w:t>
      </w:r>
      <w:r w:rsidR="00A33A5B">
        <w:rPr>
          <w:rFonts w:ascii="Garamond" w:eastAsia="Times New Roman" w:hAnsi="Garamond"/>
          <w:sz w:val="24"/>
          <w:szCs w:val="24"/>
          <w:lang w:val="en-GB" w:eastAsia="hu-HU"/>
        </w:rPr>
        <w:t>ing</w:t>
      </w:r>
      <w:r w:rsidR="00C304B0" w:rsidRPr="000B20B8">
        <w:rPr>
          <w:rFonts w:ascii="Garamond" w:eastAsia="Times New Roman" w:hAnsi="Garamond"/>
          <w:sz w:val="24"/>
          <w:szCs w:val="24"/>
          <w:lang w:val="en-GB" w:eastAsia="hu-HU"/>
        </w:rPr>
        <w:t xml:space="preserve"> with that of the governing majority), which were installed in a high number in the period preceding the elections, and did not</w:t>
      </w:r>
      <w:r w:rsidR="000B20B8">
        <w:rPr>
          <w:rFonts w:ascii="Garamond" w:eastAsia="Times New Roman" w:hAnsi="Garamond"/>
          <w:sz w:val="24"/>
          <w:szCs w:val="24"/>
          <w:lang w:val="en-GB" w:eastAsia="hu-HU"/>
        </w:rPr>
        <w:t xml:space="preserve"> apply to civil society </w:t>
      </w:r>
      <w:r w:rsidR="00C304B0" w:rsidRPr="000B20B8">
        <w:rPr>
          <w:rFonts w:ascii="Garamond" w:eastAsia="Times New Roman" w:hAnsi="Garamond"/>
          <w:sz w:val="24"/>
          <w:szCs w:val="24"/>
          <w:lang w:val="en-GB" w:eastAsia="hu-HU"/>
        </w:rPr>
        <w:t>posters</w:t>
      </w:r>
      <w:r w:rsidR="00EB4204">
        <w:rPr>
          <w:rFonts w:ascii="Garamond" w:eastAsia="Times New Roman" w:hAnsi="Garamond"/>
          <w:sz w:val="24"/>
          <w:szCs w:val="24"/>
          <w:lang w:val="en-GB" w:eastAsia="hu-HU"/>
        </w:rPr>
        <w:t xml:space="preserve"> either</w:t>
      </w:r>
      <w:r w:rsidR="00C304B0" w:rsidRPr="000B20B8">
        <w:rPr>
          <w:rFonts w:ascii="Garamond" w:eastAsia="Times New Roman" w:hAnsi="Garamond"/>
          <w:sz w:val="24"/>
          <w:szCs w:val="24"/>
          <w:lang w:val="en-GB" w:eastAsia="hu-HU"/>
        </w:rPr>
        <w:t xml:space="preserve">. (The latter </w:t>
      </w:r>
      <w:r w:rsidR="00422DB1" w:rsidRPr="000B20B8">
        <w:rPr>
          <w:rFonts w:ascii="Garamond" w:eastAsia="Times New Roman" w:hAnsi="Garamond"/>
          <w:sz w:val="24"/>
          <w:szCs w:val="24"/>
          <w:lang w:val="en-GB" w:eastAsia="hu-HU"/>
        </w:rPr>
        <w:t xml:space="preserve">is </w:t>
      </w:r>
      <w:r w:rsidR="00EB4204">
        <w:rPr>
          <w:rFonts w:ascii="Garamond" w:eastAsia="Times New Roman" w:hAnsi="Garamond"/>
          <w:sz w:val="24"/>
          <w:szCs w:val="24"/>
          <w:lang w:val="en-GB" w:eastAsia="hu-HU"/>
        </w:rPr>
        <w:t xml:space="preserve">relevant </w:t>
      </w:r>
      <w:r w:rsidR="00C304B0" w:rsidRPr="000B20B8">
        <w:rPr>
          <w:rFonts w:ascii="Garamond" w:eastAsia="Times New Roman" w:hAnsi="Garamond"/>
          <w:sz w:val="24"/>
          <w:szCs w:val="24"/>
          <w:lang w:val="en-GB" w:eastAsia="hu-HU"/>
        </w:rPr>
        <w:t>because an NGO called “Civil Unity Forum”, undeniably having very close ties with governing parties, install</w:t>
      </w:r>
      <w:r w:rsidR="00422DB1" w:rsidRPr="000B20B8">
        <w:rPr>
          <w:rFonts w:ascii="Garamond" w:eastAsia="Times New Roman" w:hAnsi="Garamond"/>
          <w:sz w:val="24"/>
          <w:szCs w:val="24"/>
          <w:lang w:val="en-GB" w:eastAsia="hu-HU"/>
        </w:rPr>
        <w:t>ed</w:t>
      </w:r>
      <w:r w:rsidR="00C304B0" w:rsidRPr="000B20B8">
        <w:rPr>
          <w:rFonts w:ascii="Garamond" w:eastAsia="Times New Roman" w:hAnsi="Garamond"/>
          <w:sz w:val="24"/>
          <w:szCs w:val="24"/>
          <w:lang w:val="en-GB" w:eastAsia="hu-HU"/>
        </w:rPr>
        <w:t xml:space="preserve"> posters heavily criticizing opposition leaders.) </w:t>
      </w:r>
      <w:r w:rsidR="00FC7FC7">
        <w:rPr>
          <w:rFonts w:ascii="Garamond" w:eastAsia="Times New Roman" w:hAnsi="Garamond"/>
          <w:sz w:val="24"/>
          <w:szCs w:val="24"/>
          <w:lang w:val="en-GB" w:eastAsia="hu-HU"/>
        </w:rPr>
        <w:t xml:space="preserve">At the same time, the </w:t>
      </w:r>
      <w:r w:rsidRPr="00FC7FC7">
        <w:rPr>
          <w:rFonts w:ascii="Garamond" w:eastAsia="Times New Roman" w:hAnsi="Garamond"/>
          <w:sz w:val="24"/>
          <w:szCs w:val="24"/>
          <w:lang w:val="en-GB" w:eastAsia="hu-HU"/>
        </w:rPr>
        <w:t>Constitutional Court rejected a complaint concerning the regulation of election posters without deciding on the merits of the complaint.</w:t>
      </w:r>
    </w:p>
    <w:p w:rsidR="001913F4" w:rsidRPr="000438A7" w:rsidRDefault="000438A7" w:rsidP="00A33A5B">
      <w:pPr>
        <w:pStyle w:val="Listaszerbekezds"/>
        <w:numPr>
          <w:ilvl w:val="0"/>
          <w:numId w:val="44"/>
        </w:numPr>
        <w:spacing w:before="120" w:after="120" w:line="240" w:lineRule="auto"/>
        <w:ind w:left="641" w:hanging="357"/>
        <w:contextualSpacing w:val="0"/>
        <w:jc w:val="both"/>
        <w:rPr>
          <w:rFonts w:ascii="Garamond" w:eastAsia="Times New Roman" w:hAnsi="Garamond"/>
          <w:sz w:val="24"/>
          <w:szCs w:val="24"/>
          <w:lang w:val="en-GB" w:eastAsia="hu-HU"/>
        </w:rPr>
      </w:pPr>
      <w:r w:rsidRPr="000438A7">
        <w:rPr>
          <w:rFonts w:ascii="Garamond" w:eastAsia="Times New Roman" w:hAnsi="Garamond"/>
          <w:sz w:val="24"/>
          <w:szCs w:val="24"/>
          <w:lang w:val="en-GB" w:eastAsia="hu-HU"/>
        </w:rPr>
        <w:t xml:space="preserve">As pointed out also by OSCE/ODIHR, </w:t>
      </w:r>
      <w:r>
        <w:rPr>
          <w:rFonts w:ascii="Garamond" w:eastAsia="Times New Roman" w:hAnsi="Garamond"/>
          <w:sz w:val="24"/>
          <w:szCs w:val="24"/>
          <w:lang w:val="en-GB" w:eastAsia="hu-HU"/>
        </w:rPr>
        <w:t>t</w:t>
      </w:r>
      <w:r w:rsidRPr="000438A7">
        <w:rPr>
          <w:rFonts w:ascii="Garamond" w:eastAsia="Times New Roman" w:hAnsi="Garamond"/>
          <w:sz w:val="24"/>
          <w:szCs w:val="24"/>
          <w:lang w:val="en-GB" w:eastAsia="hu-HU"/>
        </w:rPr>
        <w:t>he majority of campaign billboard spaces were rented by</w:t>
      </w:r>
      <w:r w:rsidR="00EB4204">
        <w:rPr>
          <w:rFonts w:ascii="Garamond" w:eastAsia="Times New Roman" w:hAnsi="Garamond"/>
          <w:sz w:val="24"/>
          <w:szCs w:val="24"/>
          <w:lang w:val="en-GB" w:eastAsia="hu-HU"/>
        </w:rPr>
        <w:t xml:space="preserve"> the</w:t>
      </w:r>
      <w:r w:rsidRPr="000438A7">
        <w:rPr>
          <w:rFonts w:ascii="Garamond" w:eastAsia="Times New Roman" w:hAnsi="Garamond"/>
          <w:sz w:val="24"/>
          <w:szCs w:val="24"/>
          <w:lang w:val="en-GB" w:eastAsia="hu-HU"/>
        </w:rPr>
        <w:t xml:space="preserve"> </w:t>
      </w:r>
      <w:proofErr w:type="spellStart"/>
      <w:r w:rsidRPr="000438A7">
        <w:rPr>
          <w:rFonts w:ascii="Garamond" w:eastAsia="Times New Roman" w:hAnsi="Garamond"/>
          <w:sz w:val="24"/>
          <w:szCs w:val="24"/>
          <w:lang w:val="en-GB" w:eastAsia="hu-HU"/>
        </w:rPr>
        <w:t>Fidesz</w:t>
      </w:r>
      <w:proofErr w:type="spellEnd"/>
      <w:r w:rsidR="00EB4204">
        <w:rPr>
          <w:rFonts w:ascii="Garamond" w:eastAsia="Times New Roman" w:hAnsi="Garamond"/>
          <w:sz w:val="24"/>
          <w:szCs w:val="24"/>
          <w:lang w:val="en-GB" w:eastAsia="hu-HU"/>
        </w:rPr>
        <w:t xml:space="preserve"> in the course of the campaign</w:t>
      </w:r>
      <w:r>
        <w:rPr>
          <w:rFonts w:ascii="Garamond" w:eastAsia="Times New Roman" w:hAnsi="Garamond"/>
          <w:sz w:val="24"/>
          <w:szCs w:val="24"/>
          <w:lang w:val="en-GB" w:eastAsia="hu-HU"/>
        </w:rPr>
        <w:t xml:space="preserve">, and </w:t>
      </w:r>
      <w:r w:rsidRPr="00EB4204">
        <w:rPr>
          <w:rFonts w:ascii="Garamond" w:eastAsia="Times New Roman" w:hAnsi="Garamond"/>
          <w:b/>
          <w:sz w:val="24"/>
          <w:szCs w:val="24"/>
          <w:lang w:val="en-GB" w:eastAsia="hu-HU"/>
        </w:rPr>
        <w:t>op</w:t>
      </w:r>
      <w:r w:rsidRPr="000438A7">
        <w:rPr>
          <w:rFonts w:ascii="Garamond" w:eastAsia="Times New Roman" w:hAnsi="Garamond"/>
          <w:b/>
          <w:sz w:val="24"/>
          <w:szCs w:val="24"/>
          <w:lang w:val="en-GB" w:eastAsia="hu-HU"/>
        </w:rPr>
        <w:t>position parties and candidates had limited access to broadcast media and public advertising space</w:t>
      </w:r>
      <w:r>
        <w:rPr>
          <w:rFonts w:ascii="Garamond" w:eastAsia="Times New Roman" w:hAnsi="Garamond"/>
          <w:sz w:val="24"/>
          <w:szCs w:val="24"/>
          <w:lang w:val="en-GB" w:eastAsia="hu-HU"/>
        </w:rPr>
        <w:t xml:space="preserve">, including billboards </w:t>
      </w:r>
      <w:r w:rsidRPr="000438A7">
        <w:rPr>
          <w:rFonts w:ascii="Garamond" w:eastAsia="Times New Roman" w:hAnsi="Garamond"/>
          <w:sz w:val="24"/>
          <w:szCs w:val="24"/>
          <w:lang w:val="en-GB" w:eastAsia="hu-HU"/>
        </w:rPr>
        <w:t>and</w:t>
      </w:r>
      <w:r>
        <w:rPr>
          <w:rFonts w:ascii="Garamond" w:eastAsia="Times New Roman" w:hAnsi="Garamond"/>
          <w:sz w:val="24"/>
          <w:szCs w:val="24"/>
          <w:lang w:val="en-GB" w:eastAsia="hu-HU"/>
        </w:rPr>
        <w:t xml:space="preserve"> </w:t>
      </w:r>
      <w:r w:rsidRPr="000438A7">
        <w:rPr>
          <w:rFonts w:ascii="Garamond" w:eastAsia="Times New Roman" w:hAnsi="Garamond"/>
          <w:sz w:val="24"/>
          <w:szCs w:val="24"/>
          <w:lang w:val="en-GB" w:eastAsia="hu-HU"/>
        </w:rPr>
        <w:t>public buses, most of</w:t>
      </w:r>
      <w:r w:rsidR="00EB4204">
        <w:rPr>
          <w:rFonts w:ascii="Garamond" w:eastAsia="Times New Roman" w:hAnsi="Garamond"/>
          <w:sz w:val="24"/>
          <w:szCs w:val="24"/>
          <w:lang w:val="en-GB" w:eastAsia="hu-HU"/>
        </w:rPr>
        <w:t xml:space="preserve"> the latter ones</w:t>
      </w:r>
      <w:r w:rsidRPr="000438A7">
        <w:rPr>
          <w:rFonts w:ascii="Garamond" w:eastAsia="Times New Roman" w:hAnsi="Garamond"/>
          <w:sz w:val="24"/>
          <w:szCs w:val="24"/>
          <w:lang w:val="en-GB" w:eastAsia="hu-HU"/>
        </w:rPr>
        <w:t xml:space="preserve"> owned by individuals affiliated with the government</w:t>
      </w:r>
      <w:r>
        <w:rPr>
          <w:rFonts w:ascii="Garamond" w:eastAsia="Times New Roman" w:hAnsi="Garamond"/>
          <w:sz w:val="24"/>
          <w:szCs w:val="24"/>
          <w:lang w:val="en-GB" w:eastAsia="hu-HU"/>
        </w:rPr>
        <w:t>.</w:t>
      </w:r>
    </w:p>
    <w:p w:rsidR="00FF4F67" w:rsidRPr="00FF4F67" w:rsidRDefault="006D0FFB" w:rsidP="00A33A5B">
      <w:pPr>
        <w:pStyle w:val="Listaszerbekezds"/>
        <w:numPr>
          <w:ilvl w:val="0"/>
          <w:numId w:val="5"/>
        </w:numPr>
        <w:autoSpaceDE w:val="0"/>
        <w:autoSpaceDN w:val="0"/>
        <w:adjustRightInd w:val="0"/>
        <w:spacing w:before="120" w:after="120" w:line="240" w:lineRule="auto"/>
        <w:ind w:left="284" w:hanging="284"/>
        <w:contextualSpacing w:val="0"/>
        <w:jc w:val="both"/>
        <w:rPr>
          <w:rFonts w:ascii="Garamond" w:hAnsi="Garamond"/>
          <w:sz w:val="24"/>
          <w:szCs w:val="24"/>
          <w:lang w:val="en-GB" w:eastAsia="hu-HU"/>
        </w:rPr>
      </w:pPr>
      <w:r w:rsidRPr="00FF4F67">
        <w:rPr>
          <w:rFonts w:ascii="Garamond" w:eastAsia="Times New Roman" w:hAnsi="Garamond"/>
          <w:sz w:val="24"/>
          <w:szCs w:val="24"/>
          <w:lang w:val="en-GB" w:eastAsia="hu-HU"/>
        </w:rPr>
        <w:t>The election rules</w:t>
      </w:r>
      <w:r w:rsidRPr="00376FE2">
        <w:rPr>
          <w:rFonts w:ascii="Garamond" w:eastAsia="Times New Roman" w:hAnsi="Garamond"/>
          <w:sz w:val="24"/>
          <w:szCs w:val="24"/>
          <w:lang w:val="en-GB" w:eastAsia="hu-HU"/>
        </w:rPr>
        <w:t xml:space="preserve"> discriminate </w:t>
      </w:r>
      <w:r w:rsidRPr="00FF4F67">
        <w:rPr>
          <w:rFonts w:ascii="Garamond" w:eastAsia="Times New Roman" w:hAnsi="Garamond"/>
          <w:sz w:val="24"/>
          <w:szCs w:val="24"/>
          <w:lang w:val="en-GB" w:eastAsia="hu-HU"/>
        </w:rPr>
        <w:t xml:space="preserve">between those Hungarian </w:t>
      </w:r>
      <w:r w:rsidR="00FF4F67">
        <w:rPr>
          <w:rFonts w:ascii="Garamond" w:eastAsia="Times New Roman" w:hAnsi="Garamond"/>
          <w:sz w:val="24"/>
          <w:szCs w:val="24"/>
          <w:lang w:val="en-GB" w:eastAsia="hu-HU"/>
        </w:rPr>
        <w:t>citizens stay</w:t>
      </w:r>
      <w:r w:rsidRPr="00FF4F67">
        <w:rPr>
          <w:rFonts w:ascii="Garamond" w:eastAsia="Times New Roman" w:hAnsi="Garamond"/>
          <w:sz w:val="24"/>
          <w:szCs w:val="24"/>
          <w:lang w:val="en-GB" w:eastAsia="hu-HU"/>
        </w:rPr>
        <w:t xml:space="preserve">ing abroad but having a permanent </w:t>
      </w:r>
      <w:r w:rsidR="00EB4204">
        <w:rPr>
          <w:rFonts w:ascii="Garamond" w:eastAsia="Times New Roman" w:hAnsi="Garamond"/>
          <w:sz w:val="24"/>
          <w:szCs w:val="24"/>
          <w:lang w:val="en-GB" w:eastAsia="hu-HU"/>
        </w:rPr>
        <w:t xml:space="preserve">residence </w:t>
      </w:r>
      <w:r w:rsidRPr="00FF4F67">
        <w:rPr>
          <w:rFonts w:ascii="Garamond" w:eastAsia="Times New Roman" w:hAnsi="Garamond"/>
          <w:sz w:val="24"/>
          <w:szCs w:val="24"/>
          <w:lang w:val="en-GB" w:eastAsia="hu-HU"/>
        </w:rPr>
        <w:t xml:space="preserve">in Hungary and those </w:t>
      </w:r>
      <w:r w:rsidR="00FF4F67" w:rsidRPr="00FF4F67">
        <w:rPr>
          <w:rFonts w:ascii="Garamond" w:eastAsia="Times New Roman" w:hAnsi="Garamond"/>
          <w:sz w:val="24"/>
          <w:szCs w:val="24"/>
          <w:lang w:val="en-GB" w:eastAsia="hu-HU"/>
        </w:rPr>
        <w:t>living abroad without permanent residence in Hungary</w:t>
      </w:r>
      <w:r w:rsidRPr="00FF4F67">
        <w:rPr>
          <w:rFonts w:ascii="Garamond" w:eastAsia="Times New Roman" w:hAnsi="Garamond"/>
          <w:sz w:val="24"/>
          <w:szCs w:val="24"/>
          <w:lang w:val="en-GB" w:eastAsia="hu-HU"/>
        </w:rPr>
        <w:t xml:space="preserve">: the latter may </w:t>
      </w:r>
      <w:r w:rsidR="00FF4F67">
        <w:rPr>
          <w:rFonts w:ascii="Garamond" w:eastAsia="Times New Roman" w:hAnsi="Garamond"/>
          <w:sz w:val="24"/>
          <w:szCs w:val="24"/>
          <w:lang w:val="en-GB" w:eastAsia="hu-HU"/>
        </w:rPr>
        <w:t xml:space="preserve">also </w:t>
      </w:r>
      <w:r w:rsidRPr="00FF4F67">
        <w:rPr>
          <w:rFonts w:ascii="Garamond" w:eastAsia="Times New Roman" w:hAnsi="Garamond"/>
          <w:sz w:val="24"/>
          <w:szCs w:val="24"/>
          <w:lang w:val="en-GB" w:eastAsia="hu-HU"/>
        </w:rPr>
        <w:t xml:space="preserve">vote via </w:t>
      </w:r>
      <w:r w:rsidRPr="00EB4204">
        <w:rPr>
          <w:rFonts w:ascii="Garamond" w:eastAsia="Times New Roman" w:hAnsi="Garamond"/>
          <w:b/>
          <w:sz w:val="24"/>
          <w:szCs w:val="24"/>
          <w:lang w:val="en-GB" w:eastAsia="hu-HU"/>
        </w:rPr>
        <w:t>mail ballot</w:t>
      </w:r>
      <w:r w:rsidR="00FF4F67">
        <w:rPr>
          <w:rFonts w:ascii="Garamond" w:eastAsia="Times New Roman" w:hAnsi="Garamond"/>
          <w:sz w:val="24"/>
          <w:szCs w:val="24"/>
          <w:lang w:val="en-GB" w:eastAsia="hu-HU"/>
        </w:rPr>
        <w:t>, wh</w:t>
      </w:r>
      <w:r w:rsidR="00EB4204">
        <w:rPr>
          <w:rFonts w:ascii="Garamond" w:eastAsia="Times New Roman" w:hAnsi="Garamond"/>
          <w:sz w:val="24"/>
          <w:szCs w:val="24"/>
          <w:lang w:val="en-GB" w:eastAsia="hu-HU"/>
        </w:rPr>
        <w:t>ile those in the first group have</w:t>
      </w:r>
      <w:r w:rsidRPr="00FF4F67">
        <w:rPr>
          <w:rFonts w:ascii="Garamond" w:eastAsia="Times New Roman" w:hAnsi="Garamond"/>
          <w:sz w:val="24"/>
          <w:szCs w:val="24"/>
          <w:lang w:val="en-GB" w:eastAsia="hu-HU"/>
        </w:rPr>
        <w:t xml:space="preserve"> to vote in pers</w:t>
      </w:r>
      <w:r w:rsidR="00FF4F67">
        <w:rPr>
          <w:rFonts w:ascii="Garamond" w:eastAsia="Times New Roman" w:hAnsi="Garamond"/>
          <w:sz w:val="24"/>
          <w:szCs w:val="24"/>
          <w:lang w:val="en-GB" w:eastAsia="hu-HU"/>
        </w:rPr>
        <w:t>on at diplomatic commissio</w:t>
      </w:r>
      <w:r w:rsidR="00EB4204">
        <w:rPr>
          <w:rFonts w:ascii="Garamond" w:eastAsia="Times New Roman" w:hAnsi="Garamond"/>
          <w:sz w:val="24"/>
          <w:szCs w:val="24"/>
          <w:lang w:val="en-GB" w:eastAsia="hu-HU"/>
        </w:rPr>
        <w:t>ns (which in some cases requires</w:t>
      </w:r>
      <w:r w:rsidRPr="00FF4F67">
        <w:rPr>
          <w:rFonts w:ascii="Garamond" w:eastAsia="Times New Roman" w:hAnsi="Garamond"/>
          <w:sz w:val="24"/>
          <w:szCs w:val="24"/>
          <w:lang w:val="en-GB" w:eastAsia="hu-HU"/>
        </w:rPr>
        <w:t xml:space="preserve"> them to travel large distances). </w:t>
      </w:r>
      <w:r w:rsidR="00FC7FC7" w:rsidRPr="00FF4F67">
        <w:rPr>
          <w:rFonts w:ascii="Garamond" w:eastAsia="Times New Roman" w:hAnsi="Garamond"/>
          <w:sz w:val="24"/>
          <w:szCs w:val="24"/>
          <w:lang w:val="en-GB" w:eastAsia="hu-HU"/>
        </w:rPr>
        <w:t>In the view of the OSCE/</w:t>
      </w:r>
      <w:r w:rsidR="00FF4F67">
        <w:rPr>
          <w:rFonts w:ascii="Garamond" w:eastAsia="Times New Roman" w:hAnsi="Garamond"/>
          <w:sz w:val="24"/>
          <w:szCs w:val="24"/>
          <w:lang w:val="en-GB" w:eastAsia="hu-HU"/>
        </w:rPr>
        <w:t>ODIHR</w:t>
      </w:r>
      <w:r w:rsidR="00FC7FC7" w:rsidRPr="00FF4F67">
        <w:rPr>
          <w:rFonts w:ascii="Garamond" w:eastAsia="Times New Roman" w:hAnsi="Garamond"/>
          <w:sz w:val="24"/>
          <w:szCs w:val="24"/>
          <w:lang w:val="en-GB" w:eastAsia="hu-HU"/>
        </w:rPr>
        <w:t xml:space="preserve"> the </w:t>
      </w:r>
      <w:r w:rsidR="00FF4F67" w:rsidRPr="00FF4F67">
        <w:rPr>
          <w:rFonts w:ascii="Garamond" w:hAnsi="Garamond"/>
          <w:sz w:val="24"/>
          <w:szCs w:val="24"/>
          <w:lang w:val="en-GB" w:eastAsia="hu-HU"/>
        </w:rPr>
        <w:t xml:space="preserve">different voting procedures for the two types of voters abroad </w:t>
      </w:r>
      <w:r w:rsidR="00FF4F67">
        <w:rPr>
          <w:rFonts w:ascii="Garamond" w:hAnsi="Garamond"/>
          <w:sz w:val="24"/>
          <w:szCs w:val="24"/>
          <w:lang w:val="en-GB" w:eastAsia="hu-HU"/>
        </w:rPr>
        <w:t>“</w:t>
      </w:r>
      <w:r w:rsidR="00FF4F67" w:rsidRPr="00FF4F67">
        <w:rPr>
          <w:rFonts w:ascii="Garamond" w:hAnsi="Garamond"/>
          <w:sz w:val="24"/>
          <w:szCs w:val="24"/>
          <w:lang w:val="en-GB" w:eastAsia="hu-HU"/>
        </w:rPr>
        <w:t xml:space="preserve">was </w:t>
      </w:r>
      <w:r w:rsidR="00FF4F67" w:rsidRPr="00376FE2">
        <w:rPr>
          <w:rFonts w:ascii="Garamond" w:hAnsi="Garamond"/>
          <w:b/>
          <w:sz w:val="24"/>
          <w:szCs w:val="24"/>
          <w:lang w:val="en-GB" w:eastAsia="hu-HU"/>
        </w:rPr>
        <w:t>at odds with the principle of equal suffrage</w:t>
      </w:r>
      <w:r w:rsidR="00FF4F67" w:rsidRPr="00FF4F67">
        <w:rPr>
          <w:rFonts w:ascii="Garamond" w:hAnsi="Garamond"/>
          <w:sz w:val="24"/>
          <w:szCs w:val="24"/>
          <w:lang w:val="en-GB" w:eastAsia="hu-HU"/>
        </w:rPr>
        <w:t>”</w:t>
      </w:r>
      <w:r w:rsidR="00FF4F67">
        <w:rPr>
          <w:rFonts w:ascii="Garamond" w:hAnsi="Garamond"/>
          <w:sz w:val="24"/>
          <w:szCs w:val="24"/>
          <w:lang w:val="en-GB" w:eastAsia="hu-HU"/>
        </w:rPr>
        <w:t xml:space="preserve">. </w:t>
      </w:r>
      <w:r w:rsidR="00422DB1" w:rsidRPr="00FF4F67">
        <w:rPr>
          <w:rFonts w:ascii="Garamond" w:eastAsia="Times New Roman" w:hAnsi="Garamond"/>
          <w:sz w:val="24"/>
          <w:szCs w:val="24"/>
          <w:lang w:val="en-GB" w:eastAsia="hu-HU"/>
        </w:rPr>
        <w:t xml:space="preserve">However, </w:t>
      </w:r>
      <w:r w:rsidRPr="00FF4F67">
        <w:rPr>
          <w:rFonts w:ascii="Garamond" w:eastAsia="Times New Roman" w:hAnsi="Garamond"/>
          <w:sz w:val="24"/>
          <w:szCs w:val="24"/>
          <w:lang w:val="en-GB" w:eastAsia="hu-HU"/>
        </w:rPr>
        <w:t>the Constitutional Court refused to deal with this issue in merit, dismissing a related constitutional complaint.</w:t>
      </w:r>
    </w:p>
    <w:p w:rsidR="001913F4" w:rsidRPr="007E301B" w:rsidRDefault="006D0FFB" w:rsidP="00A33A5B">
      <w:pPr>
        <w:pStyle w:val="Listaszerbekezds"/>
        <w:numPr>
          <w:ilvl w:val="0"/>
          <w:numId w:val="5"/>
        </w:numPr>
        <w:autoSpaceDE w:val="0"/>
        <w:autoSpaceDN w:val="0"/>
        <w:adjustRightInd w:val="0"/>
        <w:spacing w:before="120" w:after="120" w:line="240" w:lineRule="auto"/>
        <w:ind w:left="284" w:hanging="284"/>
        <w:contextualSpacing w:val="0"/>
        <w:jc w:val="both"/>
        <w:rPr>
          <w:rFonts w:ascii="Garamond" w:hAnsi="Garamond"/>
          <w:sz w:val="24"/>
          <w:szCs w:val="24"/>
          <w:lang w:val="en-GB" w:eastAsia="hu-HU"/>
        </w:rPr>
      </w:pPr>
      <w:r w:rsidRPr="00FF4F67">
        <w:rPr>
          <w:rFonts w:ascii="Garamond" w:eastAsia="Times New Roman" w:hAnsi="Garamond"/>
          <w:sz w:val="24"/>
          <w:szCs w:val="24"/>
          <w:lang w:val="en-GB" w:eastAsia="hu-HU"/>
        </w:rPr>
        <w:t xml:space="preserve">Media sources claimed </w:t>
      </w:r>
      <w:r w:rsidR="00E20181">
        <w:rPr>
          <w:rFonts w:ascii="Garamond" w:eastAsia="Times New Roman" w:hAnsi="Garamond"/>
          <w:sz w:val="24"/>
          <w:szCs w:val="24"/>
          <w:lang w:val="en-GB" w:eastAsia="hu-HU"/>
        </w:rPr>
        <w:t xml:space="preserve">before the elections </w:t>
      </w:r>
      <w:r w:rsidRPr="00FF4F67">
        <w:rPr>
          <w:rFonts w:ascii="Garamond" w:eastAsia="Times New Roman" w:hAnsi="Garamond"/>
          <w:sz w:val="24"/>
          <w:szCs w:val="24"/>
          <w:lang w:val="en-GB" w:eastAsia="hu-HU"/>
        </w:rPr>
        <w:t xml:space="preserve">that there was a </w:t>
      </w:r>
      <w:r w:rsidRPr="001913F4">
        <w:rPr>
          <w:rFonts w:ascii="Garamond" w:eastAsia="Times New Roman" w:hAnsi="Garamond"/>
          <w:b/>
          <w:sz w:val="24"/>
          <w:szCs w:val="24"/>
          <w:lang w:val="en-GB" w:eastAsia="hu-HU"/>
        </w:rPr>
        <w:t>serious suspicion that in many cases</w:t>
      </w:r>
      <w:r w:rsidRPr="00FF4F67">
        <w:rPr>
          <w:rFonts w:ascii="Garamond" w:eastAsia="Times New Roman" w:hAnsi="Garamond"/>
          <w:sz w:val="24"/>
          <w:szCs w:val="24"/>
          <w:lang w:val="en-GB" w:eastAsia="hu-HU"/>
        </w:rPr>
        <w:t xml:space="preserve"> </w:t>
      </w:r>
      <w:r w:rsidRPr="00FF4F67">
        <w:rPr>
          <w:rFonts w:ascii="Garamond" w:eastAsia="Times New Roman" w:hAnsi="Garamond"/>
          <w:b/>
          <w:sz w:val="24"/>
          <w:szCs w:val="24"/>
          <w:lang w:val="en-GB" w:eastAsia="hu-HU"/>
        </w:rPr>
        <w:t>personal data and signatures of voters were copied by political parties from one recommendation sheet to another</w:t>
      </w:r>
      <w:r w:rsidRPr="00FF4F67">
        <w:rPr>
          <w:rFonts w:ascii="Garamond" w:eastAsia="Times New Roman" w:hAnsi="Garamond"/>
          <w:sz w:val="24"/>
          <w:szCs w:val="24"/>
          <w:lang w:val="en-GB" w:eastAsia="hu-HU"/>
        </w:rPr>
        <w:t xml:space="preserve">. (Under the law, recommendations from voters are required to stand as a candidate in the election, and voters may recommend more candidates.)  However, concerned state </w:t>
      </w:r>
      <w:r w:rsidRPr="001913F4">
        <w:rPr>
          <w:rFonts w:ascii="Garamond" w:eastAsia="Times New Roman" w:hAnsi="Garamond"/>
          <w:b/>
          <w:sz w:val="24"/>
          <w:szCs w:val="24"/>
          <w:lang w:val="en-GB" w:eastAsia="hu-HU"/>
        </w:rPr>
        <w:t>authorities were reluctant to investigate the matter and/or provide remedy</w:t>
      </w:r>
      <w:r w:rsidR="000438A7">
        <w:rPr>
          <w:rFonts w:ascii="Garamond" w:eastAsia="Times New Roman" w:hAnsi="Garamond"/>
          <w:sz w:val="24"/>
          <w:szCs w:val="24"/>
          <w:lang w:val="en-GB" w:eastAsia="hu-HU"/>
        </w:rPr>
        <w:t xml:space="preserve">, </w:t>
      </w:r>
      <w:r w:rsidRPr="00FF4F67">
        <w:rPr>
          <w:rFonts w:ascii="Garamond" w:eastAsia="Times New Roman" w:hAnsi="Garamond"/>
          <w:sz w:val="24"/>
          <w:szCs w:val="24"/>
          <w:lang w:val="en-GB" w:eastAsia="hu-HU"/>
        </w:rPr>
        <w:t xml:space="preserve">the National Authority for Data Protection and Freedom of Information </w:t>
      </w:r>
      <w:r w:rsidR="000438A7">
        <w:rPr>
          <w:rFonts w:ascii="Garamond" w:eastAsia="Times New Roman" w:hAnsi="Garamond"/>
          <w:sz w:val="24"/>
          <w:szCs w:val="24"/>
          <w:lang w:val="en-GB" w:eastAsia="hu-HU"/>
        </w:rPr>
        <w:t xml:space="preserve">even concluding </w:t>
      </w:r>
      <w:r w:rsidR="007E301B">
        <w:rPr>
          <w:rFonts w:ascii="Garamond" w:eastAsia="Times New Roman" w:hAnsi="Garamond"/>
          <w:sz w:val="24"/>
          <w:szCs w:val="24"/>
          <w:lang w:val="en-GB" w:eastAsia="hu-HU"/>
        </w:rPr>
        <w:t xml:space="preserve">that checking upon </w:t>
      </w:r>
      <w:r w:rsidR="00EB4204">
        <w:rPr>
          <w:rFonts w:ascii="Garamond" w:eastAsia="Times New Roman" w:hAnsi="Garamond"/>
          <w:sz w:val="24"/>
          <w:szCs w:val="24"/>
          <w:lang w:val="en-GB" w:eastAsia="hu-HU"/>
        </w:rPr>
        <w:t xml:space="preserve">individual </w:t>
      </w:r>
      <w:r w:rsidR="007E301B">
        <w:rPr>
          <w:rFonts w:ascii="Garamond" w:eastAsia="Times New Roman" w:hAnsi="Garamond"/>
          <w:sz w:val="24"/>
          <w:szCs w:val="24"/>
          <w:lang w:val="en-GB" w:eastAsia="hu-HU"/>
        </w:rPr>
        <w:t xml:space="preserve">request whether personal data was misused </w:t>
      </w:r>
      <w:r w:rsidRPr="007E301B">
        <w:rPr>
          <w:rFonts w:ascii="Garamond" w:eastAsia="Times New Roman" w:hAnsi="Garamond"/>
          <w:sz w:val="24"/>
          <w:szCs w:val="24"/>
          <w:lang w:val="en-GB" w:eastAsia="hu-HU"/>
        </w:rPr>
        <w:t>would pose such an extreme workload on the election authorities that it could not be managed without endangering the procedure of the elections</w:t>
      </w:r>
      <w:r w:rsidR="00465B5A" w:rsidRPr="007E301B">
        <w:rPr>
          <w:rFonts w:ascii="Garamond" w:eastAsia="Times New Roman" w:hAnsi="Garamond"/>
          <w:sz w:val="24"/>
          <w:szCs w:val="24"/>
          <w:lang w:val="en-GB" w:eastAsia="hu-HU"/>
        </w:rPr>
        <w:t>.</w:t>
      </w:r>
    </w:p>
    <w:p w:rsidR="0036168A" w:rsidRDefault="007E301B" w:rsidP="00A33A5B">
      <w:pPr>
        <w:pStyle w:val="Listaszerbekezds"/>
        <w:numPr>
          <w:ilvl w:val="0"/>
          <w:numId w:val="5"/>
        </w:numPr>
        <w:autoSpaceDE w:val="0"/>
        <w:autoSpaceDN w:val="0"/>
        <w:adjustRightInd w:val="0"/>
        <w:spacing w:before="120" w:after="120" w:line="240" w:lineRule="auto"/>
        <w:ind w:left="284" w:hanging="284"/>
        <w:contextualSpacing w:val="0"/>
        <w:jc w:val="both"/>
        <w:rPr>
          <w:rFonts w:ascii="Garamond" w:hAnsi="Garamond"/>
          <w:sz w:val="24"/>
          <w:szCs w:val="24"/>
          <w:lang w:val="en-GB"/>
        </w:rPr>
      </w:pPr>
      <w:r w:rsidRPr="007E301B">
        <w:rPr>
          <w:rFonts w:ascii="Garamond" w:hAnsi="Garamond"/>
          <w:bCs/>
          <w:color w:val="000000"/>
          <w:sz w:val="24"/>
          <w:szCs w:val="24"/>
          <w:bdr w:val="none" w:sz="0" w:space="0" w:color="auto" w:frame="1"/>
          <w:lang w:val="en-GB" w:eastAsia="hu-HU"/>
        </w:rPr>
        <w:t xml:space="preserve">The new Parliamentary </w:t>
      </w:r>
      <w:r w:rsidRPr="007E301B">
        <w:rPr>
          <w:rFonts w:ascii="Garamond" w:hAnsi="Garamond"/>
          <w:b/>
          <w:bCs/>
          <w:color w:val="000000"/>
          <w:sz w:val="24"/>
          <w:szCs w:val="24"/>
          <w:bdr w:val="none" w:sz="0" w:space="0" w:color="auto" w:frame="1"/>
          <w:lang w:val="en-GB" w:eastAsia="hu-HU"/>
        </w:rPr>
        <w:t>Campaign Finance</w:t>
      </w:r>
      <w:r w:rsidRPr="007E301B">
        <w:rPr>
          <w:rFonts w:ascii="Garamond" w:hAnsi="Garamond"/>
          <w:bCs/>
          <w:color w:val="000000"/>
          <w:sz w:val="24"/>
          <w:szCs w:val="24"/>
          <w:bdr w:val="none" w:sz="0" w:space="0" w:color="auto" w:frame="1"/>
          <w:lang w:val="en-GB" w:eastAsia="hu-HU"/>
        </w:rPr>
        <w:t xml:space="preserve"> Act, adopted in 2013, </w:t>
      </w:r>
      <w:r w:rsidR="0036168A" w:rsidRPr="0036168A">
        <w:rPr>
          <w:rFonts w:ascii="Garamond" w:hAnsi="Garamond"/>
          <w:bCs/>
          <w:color w:val="000000"/>
          <w:sz w:val="24"/>
          <w:szCs w:val="24"/>
          <w:bdr w:val="none" w:sz="0" w:space="0" w:color="auto" w:frame="1"/>
          <w:lang w:eastAsia="hu-HU"/>
        </w:rPr>
        <w:t>makes some steps forward to combat corruption</w:t>
      </w:r>
      <w:r w:rsidR="0036168A">
        <w:rPr>
          <w:rFonts w:ascii="Garamond" w:hAnsi="Garamond"/>
          <w:bCs/>
          <w:color w:val="000000"/>
          <w:sz w:val="24"/>
          <w:szCs w:val="24"/>
          <w:bdr w:val="none" w:sz="0" w:space="0" w:color="auto" w:frame="1"/>
          <w:lang w:val="en-GB" w:eastAsia="hu-HU"/>
        </w:rPr>
        <w:t>, but e.g.</w:t>
      </w:r>
      <w:r>
        <w:rPr>
          <w:rFonts w:ascii="Garamond" w:hAnsi="Garamond"/>
          <w:bCs/>
          <w:color w:val="000000"/>
          <w:sz w:val="24"/>
          <w:szCs w:val="24"/>
          <w:bdr w:val="none" w:sz="0" w:space="0" w:color="auto" w:frame="1"/>
          <w:lang w:val="en-GB" w:eastAsia="hu-HU"/>
        </w:rPr>
        <w:t xml:space="preserve"> it </w:t>
      </w:r>
      <w:r w:rsidRPr="007E301B">
        <w:rPr>
          <w:rFonts w:ascii="Garamond" w:hAnsi="Garamond"/>
          <w:sz w:val="24"/>
          <w:szCs w:val="24"/>
          <w:lang w:val="en-GB"/>
        </w:rPr>
        <w:t>omits to compel parties to give real time and ongoing account of their expenditures, and fall short of issues such as outsourcing political campaigns to GONGOs and PONGOs, and the source and origin of non-state secured camp</w:t>
      </w:r>
      <w:r>
        <w:rPr>
          <w:rFonts w:ascii="Garamond" w:hAnsi="Garamond"/>
          <w:sz w:val="24"/>
          <w:szCs w:val="24"/>
          <w:lang w:val="en-GB"/>
        </w:rPr>
        <w:t xml:space="preserve">aign funds. On top of this, it </w:t>
      </w:r>
      <w:r w:rsidRPr="007E301B">
        <w:rPr>
          <w:rFonts w:ascii="Garamond" w:hAnsi="Garamond"/>
          <w:sz w:val="24"/>
          <w:szCs w:val="24"/>
          <w:lang w:val="en-GB"/>
        </w:rPr>
        <w:t xml:space="preserve">requires parties to only submit their reports on campaign expenditures to the State Audit Office, </w:t>
      </w:r>
      <w:r w:rsidR="005C7A99">
        <w:rPr>
          <w:rFonts w:ascii="Garamond" w:hAnsi="Garamond"/>
          <w:sz w:val="24"/>
          <w:szCs w:val="24"/>
          <w:lang w:val="en-GB"/>
        </w:rPr>
        <w:t xml:space="preserve">which has </w:t>
      </w:r>
      <w:r w:rsidRPr="007E301B">
        <w:rPr>
          <w:rFonts w:ascii="Garamond" w:hAnsi="Garamond"/>
          <w:sz w:val="24"/>
          <w:szCs w:val="24"/>
          <w:lang w:val="en-GB"/>
        </w:rPr>
        <w:t xml:space="preserve">so far never addressed questionable transaction in these statements and failed to compare parties’ declarations to reality. </w:t>
      </w:r>
      <w:r>
        <w:rPr>
          <w:rFonts w:ascii="Garamond" w:hAnsi="Garamond"/>
          <w:sz w:val="24"/>
          <w:szCs w:val="24"/>
          <w:lang w:val="en-GB"/>
        </w:rPr>
        <w:t>P</w:t>
      </w:r>
      <w:r w:rsidRPr="007E301B">
        <w:rPr>
          <w:rFonts w:ascii="Garamond" w:hAnsi="Garamond"/>
          <w:sz w:val="24"/>
          <w:szCs w:val="24"/>
          <w:lang w:val="en-GB"/>
        </w:rPr>
        <w:t xml:space="preserve">arallel </w:t>
      </w:r>
      <w:r>
        <w:rPr>
          <w:rFonts w:ascii="Garamond" w:hAnsi="Garamond"/>
          <w:sz w:val="24"/>
          <w:szCs w:val="24"/>
          <w:lang w:val="en-GB"/>
        </w:rPr>
        <w:t xml:space="preserve">NGO </w:t>
      </w:r>
      <w:r w:rsidRPr="007E301B">
        <w:rPr>
          <w:rFonts w:ascii="Garamond" w:hAnsi="Garamond"/>
          <w:sz w:val="24"/>
          <w:szCs w:val="24"/>
          <w:lang w:val="en-GB"/>
        </w:rPr>
        <w:t>assessment of the 2014 nationa</w:t>
      </w:r>
      <w:r>
        <w:rPr>
          <w:rFonts w:ascii="Garamond" w:hAnsi="Garamond"/>
          <w:sz w:val="24"/>
          <w:szCs w:val="24"/>
          <w:lang w:val="en-GB"/>
        </w:rPr>
        <w:t>l el</w:t>
      </w:r>
      <w:r w:rsidR="005C7A99">
        <w:rPr>
          <w:rFonts w:ascii="Garamond" w:hAnsi="Garamond"/>
          <w:sz w:val="24"/>
          <w:szCs w:val="24"/>
          <w:lang w:val="en-GB"/>
        </w:rPr>
        <w:t>ections’ campaign spending showed</w:t>
      </w:r>
      <w:r>
        <w:rPr>
          <w:rFonts w:ascii="Garamond" w:hAnsi="Garamond"/>
          <w:sz w:val="24"/>
          <w:szCs w:val="24"/>
          <w:lang w:val="en-GB"/>
        </w:rPr>
        <w:t xml:space="preserve"> that</w:t>
      </w:r>
      <w:r w:rsidR="005C7A99" w:rsidRPr="005C7A99">
        <w:rPr>
          <w:rFonts w:ascii="Times New Roman" w:eastAsia="Times New Roman" w:hAnsi="Times New Roman"/>
          <w:sz w:val="24"/>
          <w:szCs w:val="24"/>
        </w:rPr>
        <w:t xml:space="preserve"> </w:t>
      </w:r>
      <w:r w:rsidR="005C7A99" w:rsidRPr="005C7A99">
        <w:rPr>
          <w:rFonts w:ascii="Garamond" w:hAnsi="Garamond"/>
          <w:sz w:val="24"/>
          <w:szCs w:val="24"/>
        </w:rPr>
        <w:t>funding coming from undisclosed resources was extensively used to promote the campaigns of the governing parties</w:t>
      </w:r>
      <w:r w:rsidR="005C7A99">
        <w:rPr>
          <w:rFonts w:ascii="Garamond" w:hAnsi="Garamond"/>
          <w:sz w:val="24"/>
          <w:szCs w:val="24"/>
          <w:lang w:val="en-GB"/>
        </w:rPr>
        <w:t xml:space="preserve">, and their </w:t>
      </w:r>
      <w:r w:rsidRPr="007E301B">
        <w:rPr>
          <w:rFonts w:ascii="Garamond" w:hAnsi="Garamond"/>
          <w:sz w:val="24"/>
          <w:szCs w:val="24"/>
          <w:lang w:val="en-GB"/>
        </w:rPr>
        <w:t xml:space="preserve">expenses exceeded four times the </w:t>
      </w:r>
      <w:r>
        <w:rPr>
          <w:rFonts w:ascii="Garamond" w:hAnsi="Garamond"/>
          <w:sz w:val="24"/>
          <w:szCs w:val="24"/>
          <w:lang w:val="en-GB"/>
        </w:rPr>
        <w:t xml:space="preserve">amount </w:t>
      </w:r>
      <w:r w:rsidRPr="007E301B">
        <w:rPr>
          <w:rFonts w:ascii="Garamond" w:hAnsi="Garamond"/>
          <w:sz w:val="24"/>
          <w:szCs w:val="24"/>
          <w:lang w:val="en-GB"/>
        </w:rPr>
        <w:t>foreseen by the</w:t>
      </w:r>
      <w:r>
        <w:rPr>
          <w:rFonts w:ascii="Garamond" w:hAnsi="Garamond"/>
          <w:bCs/>
          <w:color w:val="000000"/>
          <w:sz w:val="24"/>
          <w:szCs w:val="24"/>
          <w:bdr w:val="none" w:sz="0" w:space="0" w:color="auto" w:frame="1"/>
          <w:lang w:val="en-GB" w:eastAsia="hu-HU"/>
        </w:rPr>
        <w:t xml:space="preserve"> law</w:t>
      </w:r>
      <w:r w:rsidRPr="007E301B">
        <w:rPr>
          <w:rFonts w:ascii="Garamond" w:hAnsi="Garamond"/>
          <w:sz w:val="24"/>
          <w:szCs w:val="24"/>
          <w:lang w:val="en-GB"/>
        </w:rPr>
        <w:t>.</w:t>
      </w:r>
    </w:p>
    <w:p w:rsidR="00465B5A" w:rsidRPr="0036168A" w:rsidRDefault="00EB4204" w:rsidP="00A33A5B">
      <w:pPr>
        <w:pStyle w:val="Listaszerbekezds"/>
        <w:numPr>
          <w:ilvl w:val="0"/>
          <w:numId w:val="5"/>
        </w:numPr>
        <w:autoSpaceDE w:val="0"/>
        <w:autoSpaceDN w:val="0"/>
        <w:adjustRightInd w:val="0"/>
        <w:spacing w:before="120" w:after="120" w:line="240" w:lineRule="auto"/>
        <w:ind w:left="284" w:hanging="284"/>
        <w:contextualSpacing w:val="0"/>
        <w:jc w:val="both"/>
        <w:rPr>
          <w:rFonts w:ascii="Garamond" w:hAnsi="Garamond"/>
          <w:sz w:val="24"/>
          <w:szCs w:val="24"/>
          <w:lang w:val="en-GB"/>
        </w:rPr>
      </w:pPr>
      <w:r>
        <w:rPr>
          <w:rFonts w:ascii="Garamond" w:hAnsi="Garamond"/>
          <w:sz w:val="24"/>
          <w:szCs w:val="24"/>
          <w:lang w:val="en-GB"/>
        </w:rPr>
        <w:t>In June 2014, only a few</w:t>
      </w:r>
      <w:r w:rsidR="0036168A">
        <w:rPr>
          <w:rFonts w:ascii="Garamond" w:hAnsi="Garamond"/>
          <w:sz w:val="24"/>
          <w:szCs w:val="24"/>
          <w:lang w:val="en-GB"/>
        </w:rPr>
        <w:t xml:space="preserve"> months before the municipal elections, </w:t>
      </w:r>
      <w:r w:rsidR="0036168A" w:rsidRPr="0036168A">
        <w:rPr>
          <w:rFonts w:ascii="Garamond" w:eastAsia="Times New Roman" w:hAnsi="Garamond"/>
          <w:sz w:val="24"/>
          <w:szCs w:val="24"/>
          <w:lang w:eastAsia="hu-HU"/>
        </w:rPr>
        <w:t xml:space="preserve">the municipal representation </w:t>
      </w:r>
      <w:r w:rsidR="0036168A">
        <w:rPr>
          <w:rFonts w:ascii="Garamond" w:eastAsia="Times New Roman" w:hAnsi="Garamond"/>
          <w:sz w:val="24"/>
          <w:szCs w:val="24"/>
          <w:lang w:eastAsia="hu-HU"/>
        </w:rPr>
        <w:t xml:space="preserve">system of the Hungarian capital was modified unilaterally by the governing party, in a way </w:t>
      </w:r>
      <w:r w:rsidR="0036168A" w:rsidRPr="0036168A">
        <w:rPr>
          <w:rFonts w:ascii="Garamond" w:eastAsia="Times New Roman" w:hAnsi="Garamond"/>
          <w:sz w:val="24"/>
          <w:szCs w:val="24"/>
          <w:lang w:eastAsia="hu-HU"/>
        </w:rPr>
        <w:t>clearly adjusted to the outcome of the latest elections, and in violation of the equality of the right to vote</w:t>
      </w:r>
      <w:r w:rsidR="0036168A">
        <w:rPr>
          <w:rFonts w:ascii="Garamond" w:eastAsia="Times New Roman" w:hAnsi="Garamond"/>
          <w:sz w:val="24"/>
          <w:szCs w:val="24"/>
          <w:lang w:eastAsia="hu-HU"/>
        </w:rPr>
        <w:t>.</w:t>
      </w:r>
      <w:r w:rsidR="0036168A">
        <w:rPr>
          <w:rStyle w:val="Lbjegyzet-hivatkozs"/>
          <w:rFonts w:ascii="Garamond" w:eastAsia="Times New Roman" w:hAnsi="Garamond"/>
          <w:sz w:val="24"/>
          <w:szCs w:val="24"/>
          <w:lang w:eastAsia="hu-HU"/>
        </w:rPr>
        <w:footnoteReference w:id="18"/>
      </w:r>
      <w:r w:rsidR="0036168A">
        <w:rPr>
          <w:rFonts w:ascii="Garamond" w:eastAsia="Times New Roman" w:hAnsi="Garamond"/>
          <w:sz w:val="24"/>
          <w:szCs w:val="24"/>
          <w:lang w:eastAsia="hu-HU"/>
        </w:rPr>
        <w:t xml:space="preserve"> </w:t>
      </w:r>
      <w:r w:rsidR="00465B5A" w:rsidRPr="0036168A">
        <w:rPr>
          <w:rFonts w:ascii="Garamond" w:hAnsi="Garamond" w:cs="Arial"/>
          <w:smallCaps/>
          <w:sz w:val="24"/>
          <w:szCs w:val="24"/>
          <w:lang w:val="en-GB"/>
        </w:rPr>
        <w:br w:type="page"/>
      </w:r>
    </w:p>
    <w:p w:rsidR="00590B6A" w:rsidRPr="009851A8" w:rsidRDefault="00590B6A" w:rsidP="00465B5A">
      <w:pPr>
        <w:spacing w:before="120" w:after="120" w:line="240" w:lineRule="auto"/>
        <w:rPr>
          <w:rFonts w:ascii="Garamond" w:hAnsi="Garamond" w:cs="Arial"/>
          <w:smallCaps/>
          <w:sz w:val="24"/>
          <w:szCs w:val="24"/>
          <w:lang w:val="en-GB"/>
        </w:rPr>
      </w:pPr>
    </w:p>
    <w:p w:rsidR="00590B6A" w:rsidRPr="009851A8" w:rsidRDefault="006F0770" w:rsidP="00465B5A">
      <w:pPr>
        <w:spacing w:before="120" w:after="120" w:line="240" w:lineRule="auto"/>
        <w:jc w:val="center"/>
        <w:rPr>
          <w:rFonts w:ascii="Garamond" w:hAnsi="Garamond" w:cs="Arial"/>
          <w:smallCaps/>
          <w:sz w:val="24"/>
          <w:szCs w:val="24"/>
          <w:lang w:val="en-GB"/>
        </w:rPr>
      </w:pPr>
      <w:r>
        <w:rPr>
          <w:rFonts w:ascii="Garamond" w:hAnsi="Garamond" w:cs="Arial"/>
          <w:smallCaps/>
          <w:sz w:val="24"/>
          <w:szCs w:val="24"/>
          <w:lang w:val="en-GB"/>
        </w:rPr>
        <w:t>Hungary Fact Sheet 5</w:t>
      </w:r>
    </w:p>
    <w:p w:rsidR="00AC1E59" w:rsidRPr="009851A8" w:rsidRDefault="00590B6A" w:rsidP="00465B5A">
      <w:pPr>
        <w:spacing w:before="120" w:after="120" w:line="240" w:lineRule="auto"/>
        <w:jc w:val="center"/>
        <w:rPr>
          <w:rFonts w:ascii="Garamond" w:hAnsi="Garamond" w:cs="Arial"/>
          <w:smallCaps/>
          <w:sz w:val="24"/>
          <w:szCs w:val="24"/>
          <w:lang w:val="en-GB"/>
        </w:rPr>
      </w:pPr>
      <w:r w:rsidRPr="009851A8">
        <w:rPr>
          <w:rFonts w:ascii="Garamond" w:hAnsi="Garamond" w:cs="Arial"/>
          <w:smallCaps/>
          <w:sz w:val="24"/>
          <w:szCs w:val="24"/>
          <w:lang w:val="en-GB"/>
        </w:rPr>
        <w:t>September 2014</w:t>
      </w:r>
    </w:p>
    <w:p w:rsidR="00660DB7" w:rsidRPr="009851A8" w:rsidRDefault="00D67DFC" w:rsidP="00465B5A">
      <w:pPr>
        <w:autoSpaceDE w:val="0"/>
        <w:autoSpaceDN w:val="0"/>
        <w:adjustRightInd w:val="0"/>
        <w:spacing w:before="120" w:after="120" w:line="240" w:lineRule="auto"/>
        <w:jc w:val="center"/>
        <w:rPr>
          <w:rFonts w:ascii="Garamond" w:hAnsi="Garamond" w:cs="Garamond-Bold"/>
          <w:b/>
          <w:bCs/>
          <w:smallCaps/>
          <w:sz w:val="28"/>
          <w:szCs w:val="28"/>
          <w:lang w:val="en-GB"/>
        </w:rPr>
      </w:pPr>
      <w:r w:rsidRPr="009851A8">
        <w:rPr>
          <w:rFonts w:ascii="Garamond" w:hAnsi="Garamond" w:cs="Garamond-Bold"/>
          <w:b/>
          <w:bCs/>
          <w:smallCaps/>
          <w:sz w:val="28"/>
          <w:szCs w:val="28"/>
          <w:lang w:val="en-GB"/>
        </w:rPr>
        <w:t>Media</w:t>
      </w:r>
      <w:r w:rsidR="00AE63D0" w:rsidRPr="009851A8">
        <w:rPr>
          <w:rFonts w:ascii="Garamond" w:hAnsi="Garamond" w:cs="Garamond-Bold"/>
          <w:b/>
          <w:bCs/>
          <w:smallCaps/>
          <w:sz w:val="28"/>
          <w:szCs w:val="28"/>
          <w:lang w:val="en-GB"/>
        </w:rPr>
        <w:t xml:space="preserve"> regulation; distorting the market</w:t>
      </w:r>
    </w:p>
    <w:p w:rsidR="00C40BC2" w:rsidRPr="009851A8" w:rsidRDefault="00C40BC2" w:rsidP="00465B5A">
      <w:pPr>
        <w:spacing w:before="120" w:after="120" w:line="240" w:lineRule="auto"/>
        <w:rPr>
          <w:rFonts w:ascii="Garamond" w:eastAsia="Times New Roman" w:hAnsi="Garamond"/>
          <w:sz w:val="24"/>
          <w:szCs w:val="24"/>
          <w:lang w:val="en-GB" w:eastAsia="hu-HU"/>
        </w:rPr>
      </w:pPr>
    </w:p>
    <w:p w:rsidR="009851A8" w:rsidRPr="009851A8" w:rsidRDefault="00660DB7" w:rsidP="00F42E4F">
      <w:pPr>
        <w:pStyle w:val="NormlWeb"/>
        <w:numPr>
          <w:ilvl w:val="0"/>
          <w:numId w:val="4"/>
        </w:numPr>
        <w:shd w:val="clear" w:color="auto" w:fill="FFFFFF"/>
        <w:tabs>
          <w:tab w:val="left" w:pos="567"/>
        </w:tabs>
        <w:spacing w:before="120" w:beforeAutospacing="0" w:after="240" w:afterAutospacing="0"/>
        <w:ind w:left="284" w:hanging="284"/>
        <w:jc w:val="both"/>
        <w:rPr>
          <w:rFonts w:ascii="Garamond" w:hAnsi="Garamond"/>
          <w:lang w:val="en-GB"/>
        </w:rPr>
      </w:pPr>
      <w:r w:rsidRPr="009851A8">
        <w:rPr>
          <w:rFonts w:ascii="Garamond" w:hAnsi="Garamond"/>
          <w:b/>
          <w:lang w:val="en-GB"/>
        </w:rPr>
        <w:t>Two new media laws were adopted in 2010</w:t>
      </w:r>
      <w:r w:rsidRPr="009851A8">
        <w:rPr>
          <w:rFonts w:ascii="Garamond" w:hAnsi="Garamond"/>
          <w:lang w:val="en-GB"/>
        </w:rPr>
        <w:t>. Act CIV of 2010 on the Freedom of the Press and the Fundamental Rules on Media Content (FPR Act) regulates media content and the rights and obligations of the media. Act CLXXXV of 2010 on Media Services and Mass Media (MS Act) deals with regulatory bodies and their procedures, tenders, fines, etc. Both cardinal Acts (M</w:t>
      </w:r>
      <w:bookmarkStart w:id="0" w:name="_GoBack"/>
      <w:bookmarkEnd w:id="0"/>
      <w:r w:rsidRPr="009851A8">
        <w:rPr>
          <w:rFonts w:ascii="Garamond" w:hAnsi="Garamond"/>
          <w:lang w:val="en-GB"/>
        </w:rPr>
        <w:t xml:space="preserve">edia Laws) were submitted by individual Members of the Parliament instead of the Government </w:t>
      </w:r>
      <w:r w:rsidRPr="009851A8">
        <w:rPr>
          <w:rFonts w:ascii="Garamond" w:hAnsi="Garamond"/>
          <w:b/>
          <w:lang w:val="en-GB"/>
        </w:rPr>
        <w:t>to avoid</w:t>
      </w:r>
      <w:r w:rsidRPr="009851A8">
        <w:rPr>
          <w:rFonts w:ascii="Garamond" w:hAnsi="Garamond"/>
          <w:lang w:val="en-GB"/>
        </w:rPr>
        <w:t xml:space="preserve"> procedural rule</w:t>
      </w:r>
      <w:r w:rsidR="0067225F">
        <w:rPr>
          <w:rFonts w:ascii="Garamond" w:hAnsi="Garamond"/>
          <w:lang w:val="en-GB"/>
        </w:rPr>
        <w:t>s binding the Government, such as</w:t>
      </w:r>
      <w:r w:rsidRPr="009851A8">
        <w:rPr>
          <w:rFonts w:ascii="Garamond" w:hAnsi="Garamond"/>
          <w:lang w:val="en-GB"/>
        </w:rPr>
        <w:t xml:space="preserve"> </w:t>
      </w:r>
      <w:r w:rsidRPr="009851A8">
        <w:rPr>
          <w:rFonts w:ascii="Garamond" w:hAnsi="Garamond"/>
          <w:b/>
          <w:lang w:val="en-GB"/>
        </w:rPr>
        <w:t>compulsory public deliberation and impact assessment</w:t>
      </w:r>
      <w:r w:rsidRPr="009851A8">
        <w:rPr>
          <w:rFonts w:ascii="Garamond" w:hAnsi="Garamond"/>
          <w:lang w:val="en-GB"/>
        </w:rPr>
        <w:t>.</w:t>
      </w:r>
    </w:p>
    <w:p w:rsidR="00590B6A" w:rsidRPr="009851A8" w:rsidRDefault="0067225F" w:rsidP="00F42E4F">
      <w:pPr>
        <w:pStyle w:val="NormlWeb"/>
        <w:numPr>
          <w:ilvl w:val="0"/>
          <w:numId w:val="4"/>
        </w:numPr>
        <w:shd w:val="clear" w:color="auto" w:fill="FFFFFF"/>
        <w:tabs>
          <w:tab w:val="left" w:pos="567"/>
        </w:tabs>
        <w:spacing w:before="120" w:beforeAutospacing="0" w:after="240" w:afterAutospacing="0"/>
        <w:ind w:left="284" w:hanging="284"/>
        <w:jc w:val="both"/>
        <w:rPr>
          <w:rFonts w:ascii="Garamond" w:hAnsi="Garamond"/>
          <w:lang w:val="en-GB"/>
        </w:rPr>
      </w:pPr>
      <w:r>
        <w:rPr>
          <w:rFonts w:ascii="Garamond" w:hAnsi="Garamond"/>
          <w:lang w:val="en-GB"/>
        </w:rPr>
        <w:t>The new media l</w:t>
      </w:r>
      <w:r w:rsidR="00660DB7" w:rsidRPr="009851A8">
        <w:rPr>
          <w:rFonts w:ascii="Garamond" w:hAnsi="Garamond"/>
          <w:lang w:val="en-GB"/>
        </w:rPr>
        <w:t xml:space="preserve">aws have two main features: </w:t>
      </w:r>
      <w:r w:rsidR="00FA2DD8" w:rsidRPr="009851A8">
        <w:rPr>
          <w:rFonts w:ascii="Garamond" w:hAnsi="Garamond"/>
          <w:lang w:val="en-GB"/>
        </w:rPr>
        <w:t>(</w:t>
      </w:r>
      <w:proofErr w:type="spellStart"/>
      <w:r w:rsidR="00660DB7" w:rsidRPr="009851A8">
        <w:rPr>
          <w:rFonts w:ascii="Garamond" w:hAnsi="Garamond"/>
          <w:lang w:val="en-GB"/>
        </w:rPr>
        <w:t>i</w:t>
      </w:r>
      <w:proofErr w:type="spellEnd"/>
      <w:r w:rsidR="00660DB7" w:rsidRPr="009851A8">
        <w:rPr>
          <w:rFonts w:ascii="Garamond" w:hAnsi="Garamond"/>
          <w:lang w:val="en-GB"/>
        </w:rPr>
        <w:t xml:space="preserve">) they set </w:t>
      </w:r>
      <w:r w:rsidR="00660DB7" w:rsidRPr="009851A8">
        <w:rPr>
          <w:rFonts w:ascii="Garamond" w:hAnsi="Garamond"/>
          <w:b/>
          <w:lang w:val="en-GB"/>
        </w:rPr>
        <w:t>strict content requirements</w:t>
      </w:r>
      <w:r w:rsidR="00660DB7" w:rsidRPr="009851A8">
        <w:rPr>
          <w:rFonts w:ascii="Garamond" w:hAnsi="Garamond"/>
          <w:lang w:val="en-GB"/>
        </w:rPr>
        <w:t xml:space="preserve"> concerning linear, on-demand services, public services, online and print press; </w:t>
      </w:r>
      <w:r w:rsidR="00FA2DD8" w:rsidRPr="009851A8">
        <w:rPr>
          <w:rFonts w:ascii="Garamond" w:hAnsi="Garamond"/>
          <w:lang w:val="en-GB"/>
        </w:rPr>
        <w:t>(</w:t>
      </w:r>
      <w:r w:rsidR="00660DB7" w:rsidRPr="009851A8">
        <w:rPr>
          <w:rFonts w:ascii="Garamond" w:hAnsi="Garamond"/>
          <w:lang w:val="en-GB"/>
        </w:rPr>
        <w:t xml:space="preserve">ii) a </w:t>
      </w:r>
      <w:r w:rsidR="00660DB7" w:rsidRPr="009851A8">
        <w:rPr>
          <w:rFonts w:ascii="Garamond" w:hAnsi="Garamond"/>
          <w:b/>
          <w:lang w:val="en-GB"/>
        </w:rPr>
        <w:t>single regulatory regime</w:t>
      </w:r>
      <w:r w:rsidR="00660DB7" w:rsidRPr="009851A8">
        <w:rPr>
          <w:rFonts w:ascii="Garamond" w:hAnsi="Garamond"/>
          <w:lang w:val="en-GB"/>
        </w:rPr>
        <w:t xml:space="preserve"> applies to all for profit media, allowing for only minor differentiation between different media products.</w:t>
      </w:r>
    </w:p>
    <w:p w:rsidR="00590B6A" w:rsidRPr="009851A8" w:rsidRDefault="00660DB7" w:rsidP="00F42E4F">
      <w:pPr>
        <w:pStyle w:val="NormlWeb"/>
        <w:numPr>
          <w:ilvl w:val="0"/>
          <w:numId w:val="4"/>
        </w:numPr>
        <w:shd w:val="clear" w:color="auto" w:fill="FFFFFF"/>
        <w:tabs>
          <w:tab w:val="left" w:pos="567"/>
        </w:tabs>
        <w:spacing w:before="120" w:beforeAutospacing="0" w:after="240" w:afterAutospacing="0"/>
        <w:ind w:left="284" w:hanging="284"/>
        <w:jc w:val="both"/>
        <w:rPr>
          <w:rFonts w:ascii="Garamond" w:hAnsi="Garamond"/>
          <w:lang w:val="en-GB"/>
        </w:rPr>
      </w:pPr>
      <w:r w:rsidRPr="009851A8">
        <w:rPr>
          <w:rFonts w:ascii="Garamond" w:hAnsi="Garamond"/>
          <w:lang w:val="en-GB"/>
        </w:rPr>
        <w:t xml:space="preserve">The MS Act established the National Media and </w:t>
      </w:r>
      <w:proofErr w:type="spellStart"/>
      <w:r w:rsidRPr="009851A8">
        <w:rPr>
          <w:rFonts w:ascii="Garamond" w:hAnsi="Garamond"/>
          <w:lang w:val="en-GB"/>
        </w:rPr>
        <w:t>Infocommunicati</w:t>
      </w:r>
      <w:r w:rsidR="0067225F">
        <w:rPr>
          <w:rFonts w:ascii="Garamond" w:hAnsi="Garamond"/>
          <w:lang w:val="en-GB"/>
        </w:rPr>
        <w:t>ons</w:t>
      </w:r>
      <w:proofErr w:type="spellEnd"/>
      <w:r w:rsidR="0067225F">
        <w:rPr>
          <w:rFonts w:ascii="Garamond" w:hAnsi="Garamond"/>
          <w:lang w:val="en-GB"/>
        </w:rPr>
        <w:t xml:space="preserve"> Authority. The Head of the A</w:t>
      </w:r>
      <w:r w:rsidRPr="009851A8">
        <w:rPr>
          <w:rFonts w:ascii="Garamond" w:hAnsi="Garamond"/>
          <w:lang w:val="en-GB"/>
        </w:rPr>
        <w:t>uthority is appointed by the President of the Republic, after the nomination made by the Prime Minist</w:t>
      </w:r>
      <w:r w:rsidR="0067225F">
        <w:rPr>
          <w:rFonts w:ascii="Garamond" w:hAnsi="Garamond"/>
          <w:lang w:val="en-GB"/>
        </w:rPr>
        <w:t>er, for 9 years. The duties of Head of the Authority and the C</w:t>
      </w:r>
      <w:r w:rsidRPr="009851A8">
        <w:rPr>
          <w:rFonts w:ascii="Garamond" w:hAnsi="Garamond"/>
          <w:lang w:val="en-GB"/>
        </w:rPr>
        <w:t xml:space="preserve">hair of the </w:t>
      </w:r>
      <w:r w:rsidRPr="009851A8">
        <w:rPr>
          <w:rFonts w:ascii="Garamond" w:hAnsi="Garamond"/>
          <w:b/>
          <w:lang w:val="en-GB"/>
        </w:rPr>
        <w:t>Media Council</w:t>
      </w:r>
      <w:r w:rsidRPr="009851A8">
        <w:rPr>
          <w:rFonts w:ascii="Garamond" w:hAnsi="Garamond"/>
          <w:lang w:val="en-GB"/>
        </w:rPr>
        <w:t xml:space="preserve"> are vested in the same person. The four members of the Media Council are elected by a two-thirds majority of MPs. </w:t>
      </w:r>
      <w:r w:rsidR="0067225F">
        <w:rPr>
          <w:rFonts w:ascii="Garamond" w:hAnsi="Garamond"/>
          <w:b/>
          <w:lang w:val="en-GB"/>
        </w:rPr>
        <w:t>All the m</w:t>
      </w:r>
      <w:r w:rsidRPr="009851A8">
        <w:rPr>
          <w:rFonts w:ascii="Garamond" w:hAnsi="Garamond"/>
          <w:b/>
          <w:lang w:val="en-GB"/>
        </w:rPr>
        <w:t xml:space="preserve">embers of the </w:t>
      </w:r>
      <w:r w:rsidR="0067225F">
        <w:rPr>
          <w:rFonts w:ascii="Garamond" w:hAnsi="Garamond"/>
          <w:b/>
          <w:lang w:val="en-GB"/>
        </w:rPr>
        <w:t xml:space="preserve">Media </w:t>
      </w:r>
      <w:r w:rsidRPr="009851A8">
        <w:rPr>
          <w:rFonts w:ascii="Garamond" w:hAnsi="Garamond"/>
          <w:b/>
          <w:lang w:val="en-GB"/>
        </w:rPr>
        <w:t xml:space="preserve">Council recently elected were nominated solely by </w:t>
      </w:r>
      <w:proofErr w:type="spellStart"/>
      <w:r w:rsidRPr="009851A8">
        <w:rPr>
          <w:rFonts w:ascii="Garamond" w:hAnsi="Garamond"/>
          <w:b/>
          <w:lang w:val="en-GB"/>
        </w:rPr>
        <w:t>Fidesz</w:t>
      </w:r>
      <w:proofErr w:type="spellEnd"/>
      <w:r w:rsidRPr="009851A8">
        <w:rPr>
          <w:rFonts w:ascii="Garamond" w:hAnsi="Garamond"/>
          <w:b/>
          <w:lang w:val="en-GB"/>
        </w:rPr>
        <w:t>-KDNP M</w:t>
      </w:r>
      <w:r w:rsidR="0067225F">
        <w:rPr>
          <w:rFonts w:ascii="Garamond" w:hAnsi="Garamond"/>
          <w:b/>
          <w:lang w:val="en-GB"/>
        </w:rPr>
        <w:t xml:space="preserve">embers of </w:t>
      </w:r>
      <w:r w:rsidRPr="009851A8">
        <w:rPr>
          <w:rFonts w:ascii="Garamond" w:hAnsi="Garamond"/>
          <w:b/>
          <w:lang w:val="en-GB"/>
        </w:rPr>
        <w:t>P</w:t>
      </w:r>
      <w:r w:rsidR="0067225F">
        <w:rPr>
          <w:rFonts w:ascii="Garamond" w:hAnsi="Garamond"/>
          <w:b/>
          <w:lang w:val="en-GB"/>
        </w:rPr>
        <w:t>arliament</w:t>
      </w:r>
      <w:r w:rsidRPr="009851A8">
        <w:rPr>
          <w:rFonts w:ascii="Garamond" w:hAnsi="Garamond"/>
          <w:lang w:val="en-GB"/>
        </w:rPr>
        <w:t>.</w:t>
      </w:r>
    </w:p>
    <w:p w:rsidR="00C40BC2" w:rsidRPr="009851A8" w:rsidRDefault="00660DB7" w:rsidP="00F42E4F">
      <w:pPr>
        <w:pStyle w:val="NormlWeb"/>
        <w:numPr>
          <w:ilvl w:val="0"/>
          <w:numId w:val="4"/>
        </w:numPr>
        <w:shd w:val="clear" w:color="auto" w:fill="FFFFFF"/>
        <w:tabs>
          <w:tab w:val="left" w:pos="567"/>
        </w:tabs>
        <w:spacing w:before="120" w:beforeAutospacing="0" w:after="240" w:afterAutospacing="0"/>
        <w:ind w:left="284" w:hanging="284"/>
        <w:jc w:val="both"/>
        <w:rPr>
          <w:rFonts w:ascii="Garamond" w:hAnsi="Garamond"/>
          <w:lang w:val="en-GB"/>
        </w:rPr>
      </w:pPr>
      <w:r w:rsidRPr="009851A8">
        <w:rPr>
          <w:rFonts w:ascii="Garamond" w:hAnsi="Garamond"/>
          <w:lang w:val="en-GB"/>
        </w:rPr>
        <w:t xml:space="preserve">The competences of the </w:t>
      </w:r>
      <w:r w:rsidR="0067225F">
        <w:rPr>
          <w:rFonts w:ascii="Garamond" w:hAnsi="Garamond"/>
          <w:lang w:val="en-GB"/>
        </w:rPr>
        <w:t xml:space="preserve">Media </w:t>
      </w:r>
      <w:r w:rsidRPr="009851A8">
        <w:rPr>
          <w:rFonts w:ascii="Garamond" w:hAnsi="Garamond"/>
          <w:lang w:val="en-GB"/>
        </w:rPr>
        <w:t xml:space="preserve">Council and the Authority cover all kinds of media and the </w:t>
      </w:r>
      <w:r w:rsidRPr="009851A8">
        <w:rPr>
          <w:rFonts w:ascii="Garamond" w:hAnsi="Garamond"/>
          <w:b/>
          <w:lang w:val="en-GB"/>
        </w:rPr>
        <w:t>amounts of fines set</w:t>
      </w:r>
      <w:r w:rsidRPr="009851A8">
        <w:rPr>
          <w:rFonts w:ascii="Garamond" w:hAnsi="Garamond"/>
          <w:lang w:val="en-GB"/>
        </w:rPr>
        <w:t xml:space="preserve"> in the MS Act </w:t>
      </w:r>
      <w:r w:rsidRPr="009851A8">
        <w:rPr>
          <w:rFonts w:ascii="Garamond" w:hAnsi="Garamond"/>
          <w:b/>
          <w:lang w:val="en-GB"/>
        </w:rPr>
        <w:t>are heavy</w:t>
      </w:r>
      <w:r w:rsidRPr="009851A8">
        <w:rPr>
          <w:rFonts w:ascii="Garamond" w:hAnsi="Garamond"/>
          <w:lang w:val="en-GB"/>
        </w:rPr>
        <w:t>. Media Service Providers with Significant Powers of Influence can be fined as much as 200 million forints (around €</w:t>
      </w:r>
      <w:r w:rsidR="0067225F">
        <w:rPr>
          <w:rFonts w:ascii="Garamond" w:hAnsi="Garamond"/>
          <w:lang w:val="en-GB"/>
        </w:rPr>
        <w:t xml:space="preserve"> </w:t>
      </w:r>
      <w:r w:rsidRPr="009851A8">
        <w:rPr>
          <w:rFonts w:ascii="Garamond" w:hAnsi="Garamond"/>
          <w:lang w:val="en-GB"/>
        </w:rPr>
        <w:t>700,000). Other maximum fines go up to 25 million forints (€</w:t>
      </w:r>
      <w:r w:rsidR="00FA2DD8" w:rsidRPr="009851A8">
        <w:rPr>
          <w:rFonts w:ascii="Garamond" w:hAnsi="Garamond"/>
          <w:lang w:val="en-GB"/>
        </w:rPr>
        <w:t xml:space="preserve"> </w:t>
      </w:r>
      <w:r w:rsidRPr="009851A8">
        <w:rPr>
          <w:rFonts w:ascii="Garamond" w:hAnsi="Garamond"/>
          <w:lang w:val="en-GB"/>
        </w:rPr>
        <w:t>85,000) for daily national newspapers and news websites and 10 million forints (€</w:t>
      </w:r>
      <w:r w:rsidR="00FA2DD8" w:rsidRPr="009851A8">
        <w:rPr>
          <w:rFonts w:ascii="Garamond" w:hAnsi="Garamond"/>
          <w:lang w:val="en-GB"/>
        </w:rPr>
        <w:t xml:space="preserve"> </w:t>
      </w:r>
      <w:r w:rsidRPr="009851A8">
        <w:rPr>
          <w:rFonts w:ascii="Garamond" w:hAnsi="Garamond"/>
          <w:lang w:val="en-GB"/>
        </w:rPr>
        <w:t xml:space="preserve">35,000) for weeklies. Private persons can be fined up to one and a half million forints (€ 5,200) in cases of non-compliance during an administrative investigation. Although these fines are rarely imposed, the sole possibility of being fined can cause </w:t>
      </w:r>
      <w:r w:rsidRPr="0067225F">
        <w:rPr>
          <w:rFonts w:ascii="Garamond" w:hAnsi="Garamond"/>
          <w:b/>
          <w:lang w:val="en-GB"/>
        </w:rPr>
        <w:t>a chilling effect</w:t>
      </w:r>
      <w:r w:rsidRPr="009851A8">
        <w:rPr>
          <w:rFonts w:ascii="Garamond" w:hAnsi="Garamond"/>
          <w:lang w:val="en-GB"/>
        </w:rPr>
        <w:t xml:space="preserve"> among media outlets.</w:t>
      </w:r>
    </w:p>
    <w:p w:rsidR="00FA2DD8" w:rsidRPr="009851A8" w:rsidRDefault="00660DB7" w:rsidP="00F42E4F">
      <w:pPr>
        <w:pStyle w:val="NormlWeb"/>
        <w:numPr>
          <w:ilvl w:val="0"/>
          <w:numId w:val="4"/>
        </w:numPr>
        <w:shd w:val="clear" w:color="auto" w:fill="FFFFFF"/>
        <w:tabs>
          <w:tab w:val="left" w:pos="567"/>
        </w:tabs>
        <w:spacing w:before="120" w:beforeAutospacing="0" w:after="240" w:afterAutospacing="0"/>
        <w:ind w:left="284" w:hanging="284"/>
        <w:jc w:val="both"/>
        <w:rPr>
          <w:rFonts w:ascii="Garamond" w:hAnsi="Garamond"/>
          <w:lang w:val="en-GB"/>
        </w:rPr>
      </w:pPr>
      <w:r w:rsidRPr="009851A8">
        <w:rPr>
          <w:rFonts w:ascii="Garamond" w:hAnsi="Garamond"/>
          <w:lang w:val="en-GB"/>
        </w:rPr>
        <w:t>International intergovernmental organizations have criticized the media laws from the start. In response to these criticisms, in February 2011 the Hungarian Government agreed to revise some provisions, and the Parliament adopted the following changes in March. The requirement for on-demand media content providers to give “comprehensive, factual, up-to-date, objective and balanced information” was removed, as well as the prohibition against offending individuals. The amendment exempted linear services and on-demand audio-visual media services provided by foreign media from the regime of sanctions for content issues. Registration rules were changed, replacing the “permissive” regime of operation of the media that requires prior registration with a “notifying” one that reduces the power of the Authority.</w:t>
      </w:r>
    </w:p>
    <w:p w:rsidR="00FA2DD8" w:rsidRPr="009851A8" w:rsidRDefault="00660DB7" w:rsidP="00465B5A">
      <w:pPr>
        <w:pStyle w:val="NormlWeb"/>
        <w:numPr>
          <w:ilvl w:val="0"/>
          <w:numId w:val="4"/>
        </w:numPr>
        <w:shd w:val="clear" w:color="auto" w:fill="FFFFFF"/>
        <w:tabs>
          <w:tab w:val="left" w:pos="567"/>
        </w:tabs>
        <w:spacing w:before="120" w:beforeAutospacing="0" w:after="120" w:afterAutospacing="0"/>
        <w:ind w:left="284" w:hanging="284"/>
        <w:jc w:val="both"/>
        <w:rPr>
          <w:rFonts w:ascii="Garamond" w:hAnsi="Garamond"/>
          <w:lang w:val="en-GB"/>
        </w:rPr>
      </w:pPr>
      <w:r w:rsidRPr="009851A8">
        <w:rPr>
          <w:rFonts w:ascii="Garamond" w:hAnsi="Garamond"/>
          <w:lang w:val="en-GB"/>
        </w:rPr>
        <w:t>In December 2011 a decision of the Constitutional</w:t>
      </w:r>
      <w:r w:rsidR="00755034" w:rsidRPr="009851A8">
        <w:rPr>
          <w:rFonts w:ascii="Garamond" w:hAnsi="Garamond"/>
          <w:lang w:val="en-GB"/>
        </w:rPr>
        <w:t xml:space="preserve"> Court annulled some important </w:t>
      </w:r>
      <w:r w:rsidRPr="009851A8">
        <w:rPr>
          <w:rFonts w:ascii="Garamond" w:hAnsi="Garamond"/>
          <w:lang w:val="en-GB"/>
        </w:rPr>
        <w:t xml:space="preserve">provisions of the media laws. As a result </w:t>
      </w:r>
    </w:p>
    <w:p w:rsidR="00FA2DD8" w:rsidRPr="009851A8" w:rsidRDefault="00660DB7" w:rsidP="00465B5A">
      <w:pPr>
        <w:pStyle w:val="NormlWeb"/>
        <w:numPr>
          <w:ilvl w:val="0"/>
          <w:numId w:val="6"/>
        </w:numPr>
        <w:shd w:val="clear" w:color="auto" w:fill="FFFFFF"/>
        <w:tabs>
          <w:tab w:val="left" w:pos="567"/>
        </w:tabs>
        <w:spacing w:before="120" w:beforeAutospacing="0" w:after="120" w:afterAutospacing="0"/>
        <w:jc w:val="both"/>
        <w:rPr>
          <w:rFonts w:ascii="Garamond" w:hAnsi="Garamond"/>
          <w:lang w:val="en-GB"/>
        </w:rPr>
      </w:pPr>
      <w:r w:rsidRPr="009851A8">
        <w:rPr>
          <w:rFonts w:ascii="Garamond" w:hAnsi="Garamond"/>
          <w:lang w:val="en-GB"/>
        </w:rPr>
        <w:t>the C</w:t>
      </w:r>
      <w:r w:rsidR="0067225F">
        <w:rPr>
          <w:rFonts w:ascii="Garamond" w:hAnsi="Garamond"/>
          <w:lang w:val="en-GB"/>
        </w:rPr>
        <w:t xml:space="preserve">onstitutional </w:t>
      </w:r>
      <w:r w:rsidRPr="009851A8">
        <w:rPr>
          <w:rFonts w:ascii="Garamond" w:hAnsi="Garamond"/>
          <w:lang w:val="en-GB"/>
        </w:rPr>
        <w:t>C</w:t>
      </w:r>
      <w:r w:rsidR="0067225F">
        <w:rPr>
          <w:rFonts w:ascii="Garamond" w:hAnsi="Garamond"/>
          <w:lang w:val="en-GB"/>
        </w:rPr>
        <w:t>ourt</w:t>
      </w:r>
      <w:r w:rsidRPr="009851A8">
        <w:rPr>
          <w:rFonts w:ascii="Garamond" w:hAnsi="Garamond"/>
          <w:lang w:val="en-GB"/>
        </w:rPr>
        <w:t xml:space="preserve"> declared unconstitutional the fact that protection of journalistic sources had been conditioned upon the “public interest” value of the journalism, </w:t>
      </w:r>
    </w:p>
    <w:p w:rsidR="00FA2DD8" w:rsidRPr="009851A8" w:rsidRDefault="0067225F" w:rsidP="00465B5A">
      <w:pPr>
        <w:pStyle w:val="NormlWeb"/>
        <w:numPr>
          <w:ilvl w:val="0"/>
          <w:numId w:val="6"/>
        </w:numPr>
        <w:shd w:val="clear" w:color="auto" w:fill="FFFFFF"/>
        <w:tabs>
          <w:tab w:val="left" w:pos="567"/>
        </w:tabs>
        <w:spacing w:before="120" w:beforeAutospacing="0" w:after="120" w:afterAutospacing="0"/>
        <w:jc w:val="both"/>
        <w:rPr>
          <w:rFonts w:ascii="Garamond" w:hAnsi="Garamond"/>
          <w:lang w:val="en-GB"/>
        </w:rPr>
      </w:pPr>
      <w:r>
        <w:rPr>
          <w:rFonts w:ascii="Garamond" w:hAnsi="Garamond"/>
          <w:lang w:val="en-GB"/>
        </w:rPr>
        <w:t xml:space="preserve">the post of Media </w:t>
      </w:r>
      <w:r w:rsidR="00660DB7" w:rsidRPr="009851A8">
        <w:rPr>
          <w:rFonts w:ascii="Garamond" w:hAnsi="Garamond"/>
          <w:lang w:val="en-GB"/>
        </w:rPr>
        <w:t xml:space="preserve">Commissioner was eliminated on 31 May 2012, </w:t>
      </w:r>
    </w:p>
    <w:p w:rsidR="00660DB7" w:rsidRPr="009851A8" w:rsidRDefault="00660DB7" w:rsidP="00F42E4F">
      <w:pPr>
        <w:pStyle w:val="NormlWeb"/>
        <w:numPr>
          <w:ilvl w:val="0"/>
          <w:numId w:val="6"/>
        </w:numPr>
        <w:shd w:val="clear" w:color="auto" w:fill="FFFFFF"/>
        <w:tabs>
          <w:tab w:val="left" w:pos="567"/>
        </w:tabs>
        <w:spacing w:before="120" w:beforeAutospacing="0" w:after="240" w:afterAutospacing="0"/>
        <w:ind w:left="1003" w:hanging="357"/>
        <w:jc w:val="both"/>
        <w:rPr>
          <w:rFonts w:ascii="Garamond" w:hAnsi="Garamond"/>
          <w:lang w:val="en-GB"/>
        </w:rPr>
      </w:pPr>
      <w:proofErr w:type="gramStart"/>
      <w:r w:rsidRPr="009851A8">
        <w:rPr>
          <w:rFonts w:ascii="Garamond" w:hAnsi="Garamond"/>
          <w:lang w:val="en-GB"/>
        </w:rPr>
        <w:t>the</w:t>
      </w:r>
      <w:proofErr w:type="gramEnd"/>
      <w:r w:rsidRPr="009851A8">
        <w:rPr>
          <w:rFonts w:ascii="Garamond" w:hAnsi="Garamond"/>
          <w:lang w:val="en-GB"/>
        </w:rPr>
        <w:t xml:space="preserve"> Media Council is not entitled to oblige media service providers to reveal data outside of an official procedure. </w:t>
      </w:r>
    </w:p>
    <w:p w:rsidR="00C40BC2" w:rsidRPr="009851A8" w:rsidRDefault="0067225F" w:rsidP="00465B5A">
      <w:pPr>
        <w:pStyle w:val="NormlWeb"/>
        <w:numPr>
          <w:ilvl w:val="0"/>
          <w:numId w:val="4"/>
        </w:numPr>
        <w:shd w:val="clear" w:color="auto" w:fill="FFFFFF"/>
        <w:tabs>
          <w:tab w:val="left" w:pos="567"/>
        </w:tabs>
        <w:spacing w:before="120" w:beforeAutospacing="0" w:after="120" w:afterAutospacing="0"/>
        <w:ind w:left="284" w:hanging="284"/>
        <w:jc w:val="both"/>
        <w:rPr>
          <w:rFonts w:ascii="Garamond" w:hAnsi="Garamond"/>
          <w:lang w:val="en-GB"/>
        </w:rPr>
      </w:pPr>
      <w:r>
        <w:rPr>
          <w:rFonts w:ascii="Garamond" w:hAnsi="Garamond"/>
          <w:lang w:val="en-GB"/>
        </w:rPr>
        <w:lastRenderedPageBreak/>
        <w:t>After the Constitutional Court’</w:t>
      </w:r>
      <w:r w:rsidR="00660DB7" w:rsidRPr="009851A8">
        <w:rPr>
          <w:rFonts w:ascii="Garamond" w:hAnsi="Garamond"/>
          <w:lang w:val="en-GB"/>
        </w:rPr>
        <w:t>s decision th</w:t>
      </w:r>
      <w:r>
        <w:rPr>
          <w:rFonts w:ascii="Garamond" w:hAnsi="Garamond"/>
          <w:lang w:val="en-GB"/>
        </w:rPr>
        <w:t>e Parliament again amended the media l</w:t>
      </w:r>
      <w:r w:rsidR="00660DB7" w:rsidRPr="009851A8">
        <w:rPr>
          <w:rFonts w:ascii="Garamond" w:hAnsi="Garamond"/>
          <w:lang w:val="en-GB"/>
        </w:rPr>
        <w:t>aws in May 2012. Be</w:t>
      </w:r>
      <w:r>
        <w:rPr>
          <w:rFonts w:ascii="Garamond" w:hAnsi="Garamond"/>
          <w:lang w:val="en-GB"/>
        </w:rPr>
        <w:t>side the consequences of the CC’</w:t>
      </w:r>
      <w:r w:rsidR="00660DB7" w:rsidRPr="009851A8">
        <w:rPr>
          <w:rFonts w:ascii="Garamond" w:hAnsi="Garamond"/>
          <w:lang w:val="en-GB"/>
        </w:rPr>
        <w:t xml:space="preserve">s decision, and without regard for the Opinion of the Council of Europe issued in March, the following amendments were adopted: </w:t>
      </w:r>
    </w:p>
    <w:p w:rsidR="00FA2DD8" w:rsidRPr="009851A8" w:rsidRDefault="00660DB7" w:rsidP="00465B5A">
      <w:pPr>
        <w:pStyle w:val="NormlWeb"/>
        <w:numPr>
          <w:ilvl w:val="0"/>
          <w:numId w:val="7"/>
        </w:numPr>
        <w:shd w:val="clear" w:color="auto" w:fill="FFFFFF"/>
        <w:tabs>
          <w:tab w:val="left" w:pos="567"/>
        </w:tabs>
        <w:spacing w:before="120" w:beforeAutospacing="0" w:after="120" w:afterAutospacing="0"/>
        <w:ind w:left="1003" w:hanging="357"/>
        <w:jc w:val="both"/>
        <w:rPr>
          <w:rFonts w:ascii="Garamond" w:hAnsi="Garamond"/>
          <w:lang w:val="en-GB"/>
        </w:rPr>
      </w:pPr>
      <w:r w:rsidRPr="009851A8">
        <w:rPr>
          <w:rFonts w:ascii="Garamond" w:hAnsi="Garamond"/>
          <w:lang w:val="en-GB"/>
        </w:rPr>
        <w:t xml:space="preserve">the protection of sources covers only those formally employed as journalists, </w:t>
      </w:r>
    </w:p>
    <w:p w:rsidR="00FA2DD8" w:rsidRPr="009851A8" w:rsidRDefault="00660DB7" w:rsidP="00465B5A">
      <w:pPr>
        <w:pStyle w:val="NormlWeb"/>
        <w:numPr>
          <w:ilvl w:val="0"/>
          <w:numId w:val="7"/>
        </w:numPr>
        <w:shd w:val="clear" w:color="auto" w:fill="FFFFFF"/>
        <w:tabs>
          <w:tab w:val="left" w:pos="567"/>
        </w:tabs>
        <w:spacing w:before="120" w:beforeAutospacing="0" w:after="120" w:afterAutospacing="0"/>
        <w:ind w:left="1003" w:hanging="357"/>
        <w:jc w:val="both"/>
        <w:rPr>
          <w:rFonts w:ascii="Garamond" w:hAnsi="Garamond"/>
          <w:lang w:val="en-GB"/>
        </w:rPr>
      </w:pPr>
      <w:r w:rsidRPr="009851A8">
        <w:rPr>
          <w:rFonts w:ascii="Garamond" w:hAnsi="Garamond"/>
          <w:lang w:val="en-GB"/>
        </w:rPr>
        <w:t xml:space="preserve">the post of Media Commissioner was re-established with significantly restricted powers, </w:t>
      </w:r>
    </w:p>
    <w:p w:rsidR="009851A8" w:rsidRPr="009851A8" w:rsidRDefault="00660DB7" w:rsidP="00F42E4F">
      <w:pPr>
        <w:pStyle w:val="NormlWeb"/>
        <w:numPr>
          <w:ilvl w:val="0"/>
          <w:numId w:val="7"/>
        </w:numPr>
        <w:shd w:val="clear" w:color="auto" w:fill="FFFFFF"/>
        <w:tabs>
          <w:tab w:val="left" w:pos="567"/>
        </w:tabs>
        <w:spacing w:before="120" w:beforeAutospacing="0" w:after="240" w:afterAutospacing="0"/>
        <w:ind w:left="1003" w:hanging="357"/>
        <w:jc w:val="both"/>
        <w:rPr>
          <w:rFonts w:ascii="Garamond" w:hAnsi="Garamond"/>
          <w:lang w:val="en-GB"/>
        </w:rPr>
      </w:pPr>
      <w:proofErr w:type="gramStart"/>
      <w:r w:rsidRPr="009851A8">
        <w:rPr>
          <w:rFonts w:ascii="Garamond" w:hAnsi="Garamond"/>
          <w:lang w:val="en-GB"/>
        </w:rPr>
        <w:t>the</w:t>
      </w:r>
      <w:proofErr w:type="gramEnd"/>
      <w:r w:rsidRPr="009851A8">
        <w:rPr>
          <w:rFonts w:ascii="Garamond" w:hAnsi="Garamond"/>
          <w:lang w:val="en-GB"/>
        </w:rPr>
        <w:t xml:space="preserve"> powers of the Chair of the Media Council in the field of freque</w:t>
      </w:r>
      <w:r w:rsidR="00FA2DD8" w:rsidRPr="009851A8">
        <w:rPr>
          <w:rFonts w:ascii="Garamond" w:hAnsi="Garamond"/>
          <w:lang w:val="en-GB"/>
        </w:rPr>
        <w:t>ncy tenders remain unrestricted.</w:t>
      </w:r>
    </w:p>
    <w:p w:rsidR="009851A8" w:rsidRPr="009851A8" w:rsidRDefault="00660DB7" w:rsidP="00F42E4F">
      <w:pPr>
        <w:pStyle w:val="NormlWeb"/>
        <w:numPr>
          <w:ilvl w:val="0"/>
          <w:numId w:val="4"/>
        </w:numPr>
        <w:shd w:val="clear" w:color="auto" w:fill="FFFFFF"/>
        <w:tabs>
          <w:tab w:val="left" w:pos="567"/>
        </w:tabs>
        <w:spacing w:before="120" w:beforeAutospacing="0" w:after="240" w:afterAutospacing="0"/>
        <w:ind w:left="284" w:hanging="284"/>
        <w:jc w:val="both"/>
        <w:rPr>
          <w:rFonts w:ascii="Garamond" w:hAnsi="Garamond"/>
          <w:lang w:val="en-GB"/>
        </w:rPr>
      </w:pPr>
      <w:r w:rsidRPr="009851A8">
        <w:rPr>
          <w:rFonts w:ascii="Garamond" w:hAnsi="Garamond"/>
          <w:lang w:val="en-GB"/>
        </w:rPr>
        <w:t>Based on the three years track record of the Authority, no serious sanctions have been imposed against journalists or media services. However all complaints filed against public service radio or television were dismissed.</w:t>
      </w:r>
    </w:p>
    <w:p w:rsidR="0067225F" w:rsidRDefault="00660DB7" w:rsidP="00465B5A">
      <w:pPr>
        <w:pStyle w:val="NormlWeb"/>
        <w:numPr>
          <w:ilvl w:val="0"/>
          <w:numId w:val="4"/>
        </w:numPr>
        <w:shd w:val="clear" w:color="auto" w:fill="FFFFFF"/>
        <w:tabs>
          <w:tab w:val="left" w:pos="567"/>
        </w:tabs>
        <w:spacing w:before="120" w:beforeAutospacing="0" w:after="120" w:afterAutospacing="0"/>
        <w:ind w:left="284" w:hanging="284"/>
        <w:jc w:val="both"/>
        <w:rPr>
          <w:rFonts w:ascii="Garamond" w:hAnsi="Garamond"/>
          <w:lang w:val="en-GB"/>
        </w:rPr>
      </w:pPr>
      <w:r w:rsidRPr="009851A8">
        <w:rPr>
          <w:rFonts w:ascii="Garamond" w:hAnsi="Garamond"/>
          <w:b/>
          <w:lang w:val="en-GB"/>
        </w:rPr>
        <w:t>Distorting the media market</w:t>
      </w:r>
    </w:p>
    <w:p w:rsidR="00C40BC2" w:rsidRPr="009851A8" w:rsidRDefault="00660DB7" w:rsidP="0067225F">
      <w:pPr>
        <w:pStyle w:val="NormlWeb"/>
        <w:shd w:val="clear" w:color="auto" w:fill="FFFFFF"/>
        <w:tabs>
          <w:tab w:val="left" w:pos="567"/>
        </w:tabs>
        <w:spacing w:before="120" w:beforeAutospacing="0" w:after="120" w:afterAutospacing="0"/>
        <w:ind w:left="284"/>
        <w:jc w:val="both"/>
        <w:rPr>
          <w:rFonts w:ascii="Garamond" w:hAnsi="Garamond"/>
          <w:lang w:val="en-GB"/>
        </w:rPr>
      </w:pPr>
      <w:r w:rsidRPr="009851A8">
        <w:rPr>
          <w:rFonts w:ascii="Garamond" w:hAnsi="Garamond"/>
          <w:lang w:val="en-GB"/>
        </w:rPr>
        <w:t xml:space="preserve">By 2014, the governing </w:t>
      </w:r>
      <w:proofErr w:type="spellStart"/>
      <w:r w:rsidRPr="009851A8">
        <w:rPr>
          <w:rFonts w:ascii="Garamond" w:hAnsi="Garamond"/>
          <w:lang w:val="en-GB"/>
        </w:rPr>
        <w:t>Fidesz</w:t>
      </w:r>
      <w:proofErr w:type="spellEnd"/>
      <w:r w:rsidRPr="009851A8">
        <w:rPr>
          <w:rFonts w:ascii="Garamond" w:hAnsi="Garamond"/>
          <w:lang w:val="en-GB"/>
        </w:rPr>
        <w:t xml:space="preserve"> party, based on its repeated two-thirds majority in Parliament, firmly controls large segments of the national media.  </w:t>
      </w:r>
    </w:p>
    <w:p w:rsidR="00FA2DD8" w:rsidRPr="009851A8" w:rsidRDefault="00660DB7" w:rsidP="00465B5A">
      <w:pPr>
        <w:pStyle w:val="NormlWeb"/>
        <w:numPr>
          <w:ilvl w:val="0"/>
          <w:numId w:val="8"/>
        </w:numPr>
        <w:shd w:val="clear" w:color="auto" w:fill="FFFFFF"/>
        <w:tabs>
          <w:tab w:val="left" w:pos="567"/>
        </w:tabs>
        <w:spacing w:before="120" w:beforeAutospacing="0" w:after="120" w:afterAutospacing="0"/>
        <w:ind w:left="1003" w:hanging="357"/>
        <w:jc w:val="both"/>
        <w:rPr>
          <w:rFonts w:ascii="Garamond" w:hAnsi="Garamond"/>
          <w:lang w:val="en-GB"/>
        </w:rPr>
      </w:pPr>
      <w:r w:rsidRPr="009851A8">
        <w:rPr>
          <w:rFonts w:ascii="Garamond" w:hAnsi="Garamond"/>
          <w:lang w:val="en-GB"/>
        </w:rPr>
        <w:t xml:space="preserve">The </w:t>
      </w:r>
      <w:proofErr w:type="spellStart"/>
      <w:r w:rsidRPr="009851A8">
        <w:rPr>
          <w:rFonts w:ascii="Garamond" w:hAnsi="Garamond"/>
          <w:lang w:val="en-GB"/>
        </w:rPr>
        <w:t>Fidesz</w:t>
      </w:r>
      <w:proofErr w:type="spellEnd"/>
      <w:r w:rsidRPr="009851A8">
        <w:rPr>
          <w:rFonts w:ascii="Garamond" w:hAnsi="Garamond"/>
          <w:lang w:val="en-GB"/>
        </w:rPr>
        <w:t xml:space="preserve"> led government </w:t>
      </w:r>
      <w:r w:rsidRPr="009851A8">
        <w:rPr>
          <w:rFonts w:ascii="Garamond" w:hAnsi="Garamond"/>
          <w:b/>
          <w:lang w:val="en-GB"/>
        </w:rPr>
        <w:t>fully controls the public-service media</w:t>
      </w:r>
      <w:r w:rsidRPr="009851A8">
        <w:rPr>
          <w:rFonts w:ascii="Garamond" w:hAnsi="Garamond"/>
          <w:lang w:val="en-GB"/>
        </w:rPr>
        <w:t xml:space="preserve"> and transformed it into govern</w:t>
      </w:r>
      <w:r w:rsidR="0067225F">
        <w:rPr>
          <w:rFonts w:ascii="Garamond" w:hAnsi="Garamond"/>
          <w:lang w:val="en-GB"/>
        </w:rPr>
        <w:t>ment mouthpiece. Public TV and r</w:t>
      </w:r>
      <w:r w:rsidRPr="009851A8">
        <w:rPr>
          <w:rFonts w:ascii="Garamond" w:hAnsi="Garamond"/>
          <w:lang w:val="en-GB"/>
        </w:rPr>
        <w:t xml:space="preserve">adio stations echo the government standpoints without any relevant critics. Legal framework regulating the state media enables the </w:t>
      </w:r>
      <w:r w:rsidRPr="009851A8">
        <w:rPr>
          <w:rFonts w:ascii="Garamond" w:hAnsi="Garamond"/>
          <w:b/>
          <w:lang w:val="en-GB"/>
        </w:rPr>
        <w:t>unilateral political nomination of the media authority’s leadership</w:t>
      </w:r>
      <w:r w:rsidRPr="009851A8">
        <w:rPr>
          <w:rFonts w:ascii="Garamond" w:hAnsi="Garamond"/>
          <w:lang w:val="en-GB"/>
        </w:rPr>
        <w:t xml:space="preserve">. </w:t>
      </w:r>
    </w:p>
    <w:p w:rsidR="00660DB7" w:rsidRDefault="00660DB7" w:rsidP="00465B5A">
      <w:pPr>
        <w:pStyle w:val="NormlWeb"/>
        <w:numPr>
          <w:ilvl w:val="0"/>
          <w:numId w:val="8"/>
        </w:numPr>
        <w:shd w:val="clear" w:color="auto" w:fill="FFFFFF"/>
        <w:tabs>
          <w:tab w:val="left" w:pos="567"/>
        </w:tabs>
        <w:spacing w:before="120" w:beforeAutospacing="0" w:after="120" w:afterAutospacing="0"/>
        <w:ind w:left="1003" w:hanging="357"/>
        <w:jc w:val="both"/>
        <w:rPr>
          <w:rFonts w:ascii="Garamond" w:hAnsi="Garamond"/>
          <w:lang w:val="en-GB"/>
        </w:rPr>
      </w:pPr>
      <w:r w:rsidRPr="009851A8">
        <w:rPr>
          <w:rFonts w:ascii="Garamond" w:hAnsi="Garamond"/>
          <w:lang w:val="en-GB"/>
        </w:rPr>
        <w:t xml:space="preserve">The government influences the content of non-state media through the distribution of state advertisements and, in several cases, by getting on to the ownership of several outlets or administratively distorting the market by imposing </w:t>
      </w:r>
      <w:proofErr w:type="spellStart"/>
      <w:r w:rsidRPr="009851A8">
        <w:rPr>
          <w:rFonts w:ascii="Garamond" w:hAnsi="Garamond"/>
          <w:lang w:val="en-GB"/>
        </w:rPr>
        <w:t>sectorial</w:t>
      </w:r>
      <w:proofErr w:type="spellEnd"/>
      <w:r w:rsidRPr="009851A8">
        <w:rPr>
          <w:rFonts w:ascii="Garamond" w:hAnsi="Garamond"/>
          <w:lang w:val="en-GB"/>
        </w:rPr>
        <w:t xml:space="preserve"> surtaxes (2014: a special surtax on media advertisements). To the part of media not controlled by the government, “soft censorship” also seems to apply.</w:t>
      </w:r>
    </w:p>
    <w:p w:rsidR="00EE55E0" w:rsidRPr="00EE55E0" w:rsidRDefault="00EE55E0" w:rsidP="00EE55E0">
      <w:pPr>
        <w:pStyle w:val="NormlWeb"/>
        <w:shd w:val="clear" w:color="auto" w:fill="FFFFFF"/>
        <w:tabs>
          <w:tab w:val="left" w:pos="567"/>
        </w:tabs>
        <w:spacing w:after="120"/>
        <w:ind w:left="1003"/>
        <w:jc w:val="both"/>
        <w:rPr>
          <w:rFonts w:ascii="Garamond" w:hAnsi="Garamond"/>
        </w:rPr>
      </w:pPr>
      <w:r w:rsidRPr="00EE55E0">
        <w:rPr>
          <w:rFonts w:ascii="Garamond" w:hAnsi="Garamond"/>
          <w:lang w:val="en-GB"/>
        </w:rPr>
        <w:sym w:font="Wingdings" w:char="F0E0"/>
      </w:r>
      <w:r>
        <w:rPr>
          <w:rFonts w:ascii="Garamond" w:hAnsi="Garamond"/>
          <w:lang w:val="en-GB"/>
        </w:rPr>
        <w:t xml:space="preserve"> </w:t>
      </w:r>
      <w:r>
        <w:rPr>
          <w:rFonts w:ascii="Garamond" w:hAnsi="Garamond"/>
        </w:rPr>
        <w:t xml:space="preserve">The special surtax referred to above is </w:t>
      </w:r>
      <w:r w:rsidRPr="00EE55E0">
        <w:rPr>
          <w:rFonts w:ascii="Garamond" w:hAnsi="Garamond"/>
        </w:rPr>
        <w:t>mostly detrimental for the</w:t>
      </w:r>
      <w:r w:rsidR="00AE591A">
        <w:rPr>
          <w:rFonts w:ascii="Garamond" w:hAnsi="Garamond"/>
        </w:rPr>
        <w:t xml:space="preserve"> market leader of commercial TV</w:t>
      </w:r>
      <w:r w:rsidRPr="00EE55E0">
        <w:rPr>
          <w:rFonts w:ascii="Garamond" w:hAnsi="Garamond"/>
        </w:rPr>
        <w:t xml:space="preserve">s, the Germany’s </w:t>
      </w:r>
      <w:proofErr w:type="spellStart"/>
      <w:r w:rsidRPr="00EE55E0">
        <w:rPr>
          <w:rFonts w:ascii="Garamond" w:hAnsi="Garamond"/>
        </w:rPr>
        <w:t>Bertellsmann</w:t>
      </w:r>
      <w:proofErr w:type="spellEnd"/>
      <w:r>
        <w:rPr>
          <w:rFonts w:ascii="Garamond" w:hAnsi="Garamond"/>
        </w:rPr>
        <w:t xml:space="preserve"> owned RTL </w:t>
      </w:r>
      <w:proofErr w:type="spellStart"/>
      <w:r>
        <w:rPr>
          <w:rFonts w:ascii="Garamond" w:hAnsi="Garamond"/>
        </w:rPr>
        <w:t>Klub</w:t>
      </w:r>
      <w:proofErr w:type="spellEnd"/>
      <w:r>
        <w:rPr>
          <w:rFonts w:ascii="Garamond" w:hAnsi="Garamond"/>
        </w:rPr>
        <w:t>, which is supposed to pay 40</w:t>
      </w:r>
      <w:r w:rsidRPr="00EE55E0">
        <w:rPr>
          <w:rFonts w:ascii="Garamond" w:hAnsi="Garamond"/>
        </w:rPr>
        <w:t xml:space="preserve">% of marginal tax rate after its advertisement revenues. The intention of market distortion, i.e. to channel the revenues towards </w:t>
      </w:r>
      <w:r>
        <w:rPr>
          <w:rFonts w:ascii="Garamond" w:hAnsi="Garamond"/>
        </w:rPr>
        <w:t xml:space="preserve">second largest commercial TV station </w:t>
      </w:r>
      <w:r w:rsidRPr="00EE55E0">
        <w:rPr>
          <w:rFonts w:ascii="Garamond" w:hAnsi="Garamond"/>
        </w:rPr>
        <w:t>TV2, seems to be obvious in this case</w:t>
      </w:r>
      <w:r>
        <w:rPr>
          <w:rFonts w:ascii="Garamond" w:hAnsi="Garamond"/>
        </w:rPr>
        <w:t xml:space="preserve">. </w:t>
      </w:r>
      <w:r w:rsidRPr="00EE55E0">
        <w:rPr>
          <w:rFonts w:ascii="Garamond" w:hAnsi="Garamond"/>
        </w:rPr>
        <w:t xml:space="preserve">According to </w:t>
      </w:r>
      <w:r>
        <w:rPr>
          <w:rFonts w:ascii="Garamond" w:hAnsi="Garamond"/>
        </w:rPr>
        <w:t xml:space="preserve">media sources, TV2 </w:t>
      </w:r>
      <w:r w:rsidRPr="00EE55E0">
        <w:rPr>
          <w:rFonts w:ascii="Garamond" w:hAnsi="Garamond"/>
        </w:rPr>
        <w:t xml:space="preserve">was sold to businessmen who might be labeled as </w:t>
      </w:r>
      <w:proofErr w:type="spellStart"/>
      <w:r w:rsidRPr="00EE55E0">
        <w:rPr>
          <w:rFonts w:ascii="Garamond" w:hAnsi="Garamond"/>
        </w:rPr>
        <w:t>Fidesz</w:t>
      </w:r>
      <w:proofErr w:type="spellEnd"/>
      <w:r w:rsidRPr="00EE55E0">
        <w:rPr>
          <w:rFonts w:ascii="Garamond" w:hAnsi="Garamond"/>
        </w:rPr>
        <w:t xml:space="preserve"> cronies last year.  </w:t>
      </w:r>
    </w:p>
    <w:p w:rsidR="00EE55E0" w:rsidRPr="00EE55E0" w:rsidRDefault="00EE55E0" w:rsidP="00EE55E0">
      <w:pPr>
        <w:pStyle w:val="NormlWeb"/>
        <w:shd w:val="clear" w:color="auto" w:fill="FFFFFF"/>
        <w:tabs>
          <w:tab w:val="left" w:pos="567"/>
        </w:tabs>
        <w:spacing w:after="120"/>
        <w:ind w:left="1003"/>
        <w:jc w:val="both"/>
        <w:rPr>
          <w:rFonts w:ascii="Garamond" w:hAnsi="Garamond"/>
        </w:rPr>
      </w:pPr>
      <w:r w:rsidRPr="00EE55E0">
        <w:rPr>
          <w:rFonts w:ascii="Garamond" w:hAnsi="Garamond"/>
          <w:lang w:val="en-GB"/>
        </w:rPr>
        <w:sym w:font="Wingdings" w:char="F0E0"/>
      </w:r>
      <w:r w:rsidRPr="00EE55E0">
        <w:t xml:space="preserve"> </w:t>
      </w:r>
      <w:r w:rsidRPr="00EE55E0">
        <w:rPr>
          <w:rFonts w:ascii="Garamond" w:hAnsi="Garamond"/>
        </w:rPr>
        <w:t xml:space="preserve">The case </w:t>
      </w:r>
      <w:r>
        <w:rPr>
          <w:rFonts w:ascii="Garamond" w:hAnsi="Garamond"/>
        </w:rPr>
        <w:t xml:space="preserve">of news portal Origo.hu </w:t>
      </w:r>
      <w:r w:rsidRPr="00EE55E0">
        <w:rPr>
          <w:rFonts w:ascii="Garamond" w:hAnsi="Garamond"/>
        </w:rPr>
        <w:t xml:space="preserve">displays the government’s readiness to violate the autonomy of free press by putting a pro forma independent media outlet under strong political pressure if it writes pieces against government politicians’ interests. Origo.hu, the largest Hungarian news portal in terms of unique users owned by Hungarian Telekom (being a 100% affiliate of Deutsche Telekom) revealed a fact that </w:t>
      </w:r>
      <w:proofErr w:type="spellStart"/>
      <w:r w:rsidRPr="00EE55E0">
        <w:rPr>
          <w:rFonts w:ascii="Garamond" w:hAnsi="Garamond"/>
        </w:rPr>
        <w:t>János</w:t>
      </w:r>
      <w:proofErr w:type="spellEnd"/>
      <w:r w:rsidRPr="00EE55E0">
        <w:rPr>
          <w:rFonts w:ascii="Garamond" w:hAnsi="Garamond"/>
        </w:rPr>
        <w:t xml:space="preserve"> </w:t>
      </w:r>
      <w:proofErr w:type="spellStart"/>
      <w:r w:rsidRPr="00EE55E0">
        <w:rPr>
          <w:rFonts w:ascii="Garamond" w:hAnsi="Garamond"/>
        </w:rPr>
        <w:t>Lázár</w:t>
      </w:r>
      <w:proofErr w:type="spellEnd"/>
      <w:r w:rsidRPr="00EE55E0">
        <w:rPr>
          <w:rFonts w:ascii="Garamond" w:hAnsi="Garamond"/>
        </w:rPr>
        <w:t xml:space="preserve"> (then State Secretary of Prime Minister’s Office, now Minister of P</w:t>
      </w:r>
      <w:r>
        <w:rPr>
          <w:rFonts w:ascii="Garamond" w:hAnsi="Garamond"/>
        </w:rPr>
        <w:t xml:space="preserve">rime </w:t>
      </w:r>
      <w:r w:rsidRPr="00EE55E0">
        <w:rPr>
          <w:rFonts w:ascii="Garamond" w:hAnsi="Garamond"/>
        </w:rPr>
        <w:t>M</w:t>
      </w:r>
      <w:r>
        <w:rPr>
          <w:rFonts w:ascii="Garamond" w:hAnsi="Garamond"/>
        </w:rPr>
        <w:t>inister</w:t>
      </w:r>
      <w:r w:rsidRPr="00EE55E0">
        <w:rPr>
          <w:rFonts w:ascii="Garamond" w:hAnsi="Garamond"/>
        </w:rPr>
        <w:t xml:space="preserve">’s Office) had spent </w:t>
      </w:r>
      <w:r>
        <w:rPr>
          <w:rFonts w:ascii="Garamond" w:hAnsi="Garamond"/>
        </w:rPr>
        <w:t>approximately € 6,600</w:t>
      </w:r>
      <w:r w:rsidRPr="00EE55E0">
        <w:rPr>
          <w:rFonts w:ascii="Garamond" w:hAnsi="Garamond"/>
        </w:rPr>
        <w:t xml:space="preserve"> for three short travels abroad, significantly acceding the market price of such accommodation and travel costs. As the P</w:t>
      </w:r>
      <w:r w:rsidR="0002337B">
        <w:rPr>
          <w:rFonts w:ascii="Garamond" w:hAnsi="Garamond"/>
        </w:rPr>
        <w:t xml:space="preserve">rime </w:t>
      </w:r>
      <w:r w:rsidRPr="00EE55E0">
        <w:rPr>
          <w:rFonts w:ascii="Garamond" w:hAnsi="Garamond"/>
        </w:rPr>
        <w:t>M</w:t>
      </w:r>
      <w:r w:rsidR="0002337B">
        <w:rPr>
          <w:rFonts w:ascii="Garamond" w:hAnsi="Garamond"/>
        </w:rPr>
        <w:t>inister</w:t>
      </w:r>
      <w:r w:rsidRPr="00EE55E0">
        <w:rPr>
          <w:rFonts w:ascii="Garamond" w:hAnsi="Garamond"/>
        </w:rPr>
        <w:t>’s Office returned the journalist’s request for details of these travels without giving a proper ans</w:t>
      </w:r>
      <w:r w:rsidR="0002337B">
        <w:rPr>
          <w:rFonts w:ascii="Garamond" w:hAnsi="Garamond"/>
        </w:rPr>
        <w:t>wer, the journalist of Origo.hu</w:t>
      </w:r>
      <w:r w:rsidRPr="00EE55E0">
        <w:rPr>
          <w:rFonts w:ascii="Garamond" w:hAnsi="Garamond"/>
        </w:rPr>
        <w:t xml:space="preserve"> took legal steps to reveal the relevant public data of these trips. </w:t>
      </w:r>
      <w:r w:rsidR="00AE591A">
        <w:rPr>
          <w:rFonts w:ascii="Garamond" w:hAnsi="Garamond"/>
        </w:rPr>
        <w:t>(</w:t>
      </w:r>
      <w:r w:rsidR="00AE591A" w:rsidRPr="00EE55E0">
        <w:rPr>
          <w:rFonts w:ascii="Garamond" w:hAnsi="Garamond"/>
        </w:rPr>
        <w:t xml:space="preserve">Just after the </w:t>
      </w:r>
      <w:r w:rsidR="0002337B">
        <w:rPr>
          <w:rFonts w:ascii="Garamond" w:hAnsi="Garamond"/>
        </w:rPr>
        <w:t xml:space="preserve">national </w:t>
      </w:r>
      <w:r w:rsidR="00AE591A" w:rsidRPr="00EE55E0">
        <w:rPr>
          <w:rFonts w:ascii="Garamond" w:hAnsi="Garamond"/>
        </w:rPr>
        <w:t>elections the journalist won the juridical proceeding in the first instance.</w:t>
      </w:r>
      <w:r w:rsidR="00AE591A">
        <w:rPr>
          <w:rFonts w:ascii="Garamond" w:hAnsi="Garamond"/>
        </w:rPr>
        <w:t>)</w:t>
      </w:r>
      <w:r w:rsidR="00AE591A" w:rsidRPr="00EE55E0">
        <w:rPr>
          <w:rFonts w:ascii="Garamond" w:hAnsi="Garamond"/>
        </w:rPr>
        <w:t xml:space="preserve"> </w:t>
      </w:r>
      <w:r w:rsidRPr="00EE55E0">
        <w:rPr>
          <w:rFonts w:ascii="Garamond" w:hAnsi="Garamond"/>
        </w:rPr>
        <w:t>As the date of the national elections of April 2014 was approaching, the portal and the journalist faced strong pressure from the government not to publish the details of the lawsuits</w:t>
      </w:r>
      <w:r w:rsidR="00AE591A">
        <w:rPr>
          <w:rFonts w:ascii="Garamond" w:hAnsi="Garamond"/>
        </w:rPr>
        <w:t xml:space="preserve">. As the portal resisted </w:t>
      </w:r>
      <w:r w:rsidRPr="00EE55E0">
        <w:rPr>
          <w:rFonts w:ascii="Garamond" w:hAnsi="Garamond"/>
        </w:rPr>
        <w:t>this pressure, the editor-in-chief of Origo.hu was sacked</w:t>
      </w:r>
      <w:r w:rsidR="00AE591A">
        <w:rPr>
          <w:rFonts w:ascii="Garamond" w:hAnsi="Garamond"/>
        </w:rPr>
        <w:t>,</w:t>
      </w:r>
      <w:r w:rsidRPr="00EE55E0">
        <w:rPr>
          <w:rFonts w:ascii="Garamond" w:hAnsi="Garamond"/>
        </w:rPr>
        <w:t xml:space="preserve"> followed by a huge efflux of journalists from this portal at the beginning of June</w:t>
      </w:r>
      <w:r w:rsidR="00AE591A">
        <w:rPr>
          <w:rFonts w:ascii="Garamond" w:hAnsi="Garamond"/>
        </w:rPr>
        <w:t xml:space="preserve"> 2014.</w:t>
      </w:r>
      <w:r w:rsidRPr="00EE55E0">
        <w:rPr>
          <w:rFonts w:ascii="Garamond" w:hAnsi="Garamond"/>
          <w:vertAlign w:val="superscript"/>
        </w:rPr>
        <w:footnoteReference w:id="19"/>
      </w:r>
    </w:p>
    <w:p w:rsidR="00FB0831" w:rsidRPr="009851A8" w:rsidRDefault="00FB0831">
      <w:pPr>
        <w:spacing w:after="0" w:line="240" w:lineRule="auto"/>
        <w:rPr>
          <w:rFonts w:ascii="Garamond" w:hAnsi="Garamond"/>
          <w:lang w:val="en-GB"/>
        </w:rPr>
      </w:pPr>
      <w:r w:rsidRPr="009851A8">
        <w:rPr>
          <w:rFonts w:ascii="Garamond" w:hAnsi="Garamond"/>
          <w:lang w:val="en-GB"/>
        </w:rPr>
        <w:br w:type="page"/>
      </w:r>
    </w:p>
    <w:p w:rsidR="00FB0831" w:rsidRPr="009851A8" w:rsidRDefault="00FB0831" w:rsidP="00465B5A">
      <w:pPr>
        <w:spacing w:before="120" w:after="120" w:line="240" w:lineRule="auto"/>
        <w:jc w:val="center"/>
        <w:rPr>
          <w:rFonts w:ascii="Garamond" w:hAnsi="Garamond"/>
          <w:lang w:val="en-GB"/>
        </w:rPr>
      </w:pPr>
    </w:p>
    <w:p w:rsidR="00465B5A" w:rsidRPr="009851A8" w:rsidRDefault="006F0770" w:rsidP="00465B5A">
      <w:pPr>
        <w:spacing w:before="120" w:after="120" w:line="240" w:lineRule="auto"/>
        <w:jc w:val="center"/>
        <w:rPr>
          <w:rFonts w:ascii="Garamond" w:hAnsi="Garamond" w:cs="Arial"/>
          <w:smallCaps/>
          <w:sz w:val="24"/>
          <w:szCs w:val="24"/>
          <w:lang w:val="en-GB"/>
        </w:rPr>
      </w:pPr>
      <w:r>
        <w:rPr>
          <w:rFonts w:ascii="Garamond" w:hAnsi="Garamond" w:cs="Arial"/>
          <w:smallCaps/>
          <w:sz w:val="24"/>
          <w:szCs w:val="24"/>
          <w:lang w:val="en-GB"/>
        </w:rPr>
        <w:t>Hungary Fact Sheet 6</w:t>
      </w:r>
    </w:p>
    <w:p w:rsidR="00465B5A" w:rsidRPr="009851A8" w:rsidRDefault="00465B5A" w:rsidP="00465B5A">
      <w:pPr>
        <w:pStyle w:val="NormlWeb"/>
        <w:spacing w:before="120" w:beforeAutospacing="0" w:after="120" w:afterAutospacing="0"/>
        <w:jc w:val="center"/>
        <w:rPr>
          <w:rFonts w:ascii="Garamond" w:hAnsi="Garamond"/>
          <w:b/>
          <w:smallCaps/>
          <w:sz w:val="28"/>
          <w:szCs w:val="28"/>
          <w:lang w:val="en-GB"/>
        </w:rPr>
      </w:pPr>
      <w:r w:rsidRPr="009851A8">
        <w:rPr>
          <w:rFonts w:ascii="Garamond" w:hAnsi="Garamond" w:cs="Arial"/>
          <w:smallCaps/>
          <w:lang w:val="en-GB"/>
        </w:rPr>
        <w:t>September 2014</w:t>
      </w:r>
    </w:p>
    <w:p w:rsidR="002A3FBB" w:rsidRPr="009851A8" w:rsidRDefault="0002337B" w:rsidP="00465B5A">
      <w:pPr>
        <w:pStyle w:val="NormlWeb"/>
        <w:spacing w:before="120" w:beforeAutospacing="0" w:after="120" w:afterAutospacing="0"/>
        <w:jc w:val="center"/>
        <w:rPr>
          <w:rFonts w:ascii="Garamond" w:hAnsi="Garamond"/>
          <w:b/>
          <w:smallCaps/>
          <w:sz w:val="28"/>
          <w:szCs w:val="28"/>
          <w:lang w:val="en-GB"/>
        </w:rPr>
      </w:pPr>
      <w:r>
        <w:rPr>
          <w:rFonts w:ascii="Garamond" w:hAnsi="Garamond"/>
          <w:b/>
          <w:smallCaps/>
          <w:sz w:val="28"/>
          <w:szCs w:val="28"/>
          <w:lang w:val="en-GB"/>
        </w:rPr>
        <w:t>Building crony capitalism;</w:t>
      </w:r>
      <w:r w:rsidR="002A3FBB" w:rsidRPr="009851A8">
        <w:rPr>
          <w:rFonts w:ascii="Garamond" w:hAnsi="Garamond"/>
          <w:b/>
          <w:smallCaps/>
          <w:sz w:val="28"/>
          <w:szCs w:val="28"/>
          <w:lang w:val="en-GB"/>
        </w:rPr>
        <w:t xml:space="preserve"> opening the door to rent seeking</w:t>
      </w:r>
    </w:p>
    <w:p w:rsidR="00465B5A" w:rsidRPr="009851A8" w:rsidRDefault="00465B5A" w:rsidP="00465B5A">
      <w:pPr>
        <w:pStyle w:val="NormlWeb"/>
        <w:shd w:val="clear" w:color="auto" w:fill="FFFFFF"/>
        <w:tabs>
          <w:tab w:val="left" w:pos="567"/>
        </w:tabs>
        <w:spacing w:before="120" w:beforeAutospacing="0" w:after="120" w:afterAutospacing="0"/>
        <w:rPr>
          <w:rFonts w:ascii="Garamond" w:hAnsi="Garamond"/>
          <w:lang w:val="en-GB"/>
        </w:rPr>
      </w:pPr>
    </w:p>
    <w:p w:rsidR="00D67DFC" w:rsidRPr="009851A8" w:rsidRDefault="002A3FBB" w:rsidP="00465B5A">
      <w:pPr>
        <w:pStyle w:val="NormlWeb"/>
        <w:shd w:val="clear" w:color="auto" w:fill="FFFFFF"/>
        <w:tabs>
          <w:tab w:val="left" w:pos="567"/>
        </w:tabs>
        <w:spacing w:before="120" w:beforeAutospacing="0" w:after="120" w:afterAutospacing="0"/>
        <w:jc w:val="both"/>
        <w:rPr>
          <w:rFonts w:ascii="Garamond" w:hAnsi="Garamond"/>
          <w:lang w:val="en-GB"/>
        </w:rPr>
      </w:pPr>
      <w:r w:rsidRPr="009851A8">
        <w:rPr>
          <w:rFonts w:ascii="Garamond" w:hAnsi="Garamond"/>
          <w:lang w:val="en-GB"/>
        </w:rPr>
        <w:t>Crony capitalism, though nominally free-market, allows for preferential regulations and other state interventions based on favo</w:t>
      </w:r>
      <w:r w:rsidR="0002337B">
        <w:rPr>
          <w:rFonts w:ascii="Garamond" w:hAnsi="Garamond"/>
          <w:lang w:val="en-GB"/>
        </w:rPr>
        <w:t>u</w:t>
      </w:r>
      <w:r w:rsidRPr="009851A8">
        <w:rPr>
          <w:rFonts w:ascii="Garamond" w:hAnsi="Garamond"/>
          <w:lang w:val="en-GB"/>
        </w:rPr>
        <w:t>ritism, personal relationships and attendance of rent seeking behavio</w:t>
      </w:r>
      <w:r w:rsidR="009851A8">
        <w:rPr>
          <w:rFonts w:ascii="Garamond" w:hAnsi="Garamond"/>
          <w:lang w:val="en-GB"/>
        </w:rPr>
        <w:t>u</w:t>
      </w:r>
      <w:r w:rsidRPr="009851A8">
        <w:rPr>
          <w:rFonts w:ascii="Garamond" w:hAnsi="Garamond"/>
          <w:lang w:val="en-GB"/>
        </w:rPr>
        <w:t>r. If rent seeking behavio</w:t>
      </w:r>
      <w:r w:rsidR="009851A8">
        <w:rPr>
          <w:rFonts w:ascii="Garamond" w:hAnsi="Garamond"/>
          <w:lang w:val="en-GB"/>
        </w:rPr>
        <w:t>u</w:t>
      </w:r>
      <w:r w:rsidRPr="009851A8">
        <w:rPr>
          <w:rFonts w:ascii="Garamond" w:hAnsi="Garamond"/>
          <w:lang w:val="en-GB"/>
        </w:rPr>
        <w:t>r prevails money-making becomes possible based not on market performance but on political connections. Economic actors are prone to seek the grace of the government instead of competing on a regulated market. Cronyism may be linked to state capture, a phenomenon where powerful oligarchs either outclass the government or are in symbiosis with influential public decision-makers. If a state is captured the public decision-making process reflects primarily private interests instead of the endeavo</w:t>
      </w:r>
      <w:r w:rsidR="009851A8">
        <w:rPr>
          <w:rFonts w:ascii="Garamond" w:hAnsi="Garamond"/>
          <w:lang w:val="en-GB"/>
        </w:rPr>
        <w:t>u</w:t>
      </w:r>
      <w:r w:rsidRPr="009851A8">
        <w:rPr>
          <w:rFonts w:ascii="Garamond" w:hAnsi="Garamond"/>
          <w:lang w:val="en-GB"/>
        </w:rPr>
        <w:t>rs of resounding the public good. The combination of state capture and crony capitalism leads to a situation where rent seeking, a corrupt behavio</w:t>
      </w:r>
      <w:r w:rsidR="009851A8">
        <w:rPr>
          <w:rFonts w:ascii="Garamond" w:hAnsi="Garamond"/>
          <w:lang w:val="en-GB"/>
        </w:rPr>
        <w:t>u</w:t>
      </w:r>
      <w:r w:rsidRPr="009851A8">
        <w:rPr>
          <w:rFonts w:ascii="Garamond" w:hAnsi="Garamond"/>
          <w:lang w:val="en-GB"/>
        </w:rPr>
        <w:t>r per se, that implies the abuse of public trust for private gains, is stimulated not only by the government but also by influential b</w:t>
      </w:r>
      <w:r w:rsidR="00465B5A" w:rsidRPr="009851A8">
        <w:rPr>
          <w:rFonts w:ascii="Garamond" w:hAnsi="Garamond"/>
          <w:lang w:val="en-GB"/>
        </w:rPr>
        <w:t xml:space="preserve">usiness groups and oligarchs. </w:t>
      </w:r>
    </w:p>
    <w:p w:rsidR="002A3FBB" w:rsidRPr="009851A8" w:rsidRDefault="002A3FBB" w:rsidP="00465B5A">
      <w:pPr>
        <w:pStyle w:val="NormlWeb"/>
        <w:shd w:val="clear" w:color="auto" w:fill="FFFFFF"/>
        <w:tabs>
          <w:tab w:val="left" w:pos="567"/>
        </w:tabs>
        <w:spacing w:before="120" w:beforeAutospacing="0" w:after="120" w:afterAutospacing="0"/>
        <w:jc w:val="both"/>
        <w:rPr>
          <w:rFonts w:ascii="Garamond" w:hAnsi="Garamond"/>
          <w:lang w:val="en-GB"/>
        </w:rPr>
      </w:pPr>
      <w:r w:rsidRPr="009851A8">
        <w:rPr>
          <w:rFonts w:ascii="Garamond" w:hAnsi="Garamond"/>
          <w:lang w:val="en-GB"/>
        </w:rPr>
        <w:t xml:space="preserve">The following two examples demonstrate the </w:t>
      </w:r>
      <w:r w:rsidR="0002337B">
        <w:rPr>
          <w:rFonts w:ascii="Garamond" w:hAnsi="Garamond"/>
          <w:lang w:val="en-GB"/>
        </w:rPr>
        <w:t xml:space="preserve">current </w:t>
      </w:r>
      <w:r w:rsidRPr="009851A8">
        <w:rPr>
          <w:rFonts w:ascii="Garamond" w:hAnsi="Garamond"/>
          <w:lang w:val="en-GB"/>
        </w:rPr>
        <w:t>government</w:t>
      </w:r>
      <w:r w:rsidR="0002337B">
        <w:rPr>
          <w:rFonts w:ascii="Garamond" w:hAnsi="Garamond"/>
          <w:lang w:val="en-GB"/>
        </w:rPr>
        <w:t>al majority’s and government’s</w:t>
      </w:r>
      <w:r w:rsidRPr="009851A8">
        <w:rPr>
          <w:rFonts w:ascii="Garamond" w:hAnsi="Garamond"/>
          <w:lang w:val="en-GB"/>
        </w:rPr>
        <w:t xml:space="preserve"> readiness to employ its legislative power to discretionarily adopt tailor-made regulations that disproportionately favour new players with tight links to the government and hurt market incumbents. </w:t>
      </w:r>
      <w:bookmarkStart w:id="1" w:name="_Toc398295489"/>
      <w:bookmarkStart w:id="2" w:name="_Toc398295572"/>
    </w:p>
    <w:p w:rsidR="00D67DFC" w:rsidRPr="009851A8" w:rsidRDefault="00D67DFC" w:rsidP="00465B5A">
      <w:pPr>
        <w:pStyle w:val="NormlWeb"/>
        <w:shd w:val="clear" w:color="auto" w:fill="FFFFFF"/>
        <w:tabs>
          <w:tab w:val="left" w:pos="567"/>
        </w:tabs>
        <w:spacing w:before="120" w:beforeAutospacing="0" w:after="120" w:afterAutospacing="0"/>
        <w:rPr>
          <w:rFonts w:ascii="Garamond" w:hAnsi="Garamond"/>
          <w:i/>
          <w:lang w:val="en-GB"/>
        </w:rPr>
      </w:pPr>
    </w:p>
    <w:p w:rsidR="002A3FBB" w:rsidRPr="00E821B5" w:rsidRDefault="002A3FBB" w:rsidP="006F1081">
      <w:pPr>
        <w:pStyle w:val="NormlWeb"/>
        <w:numPr>
          <w:ilvl w:val="0"/>
          <w:numId w:val="17"/>
        </w:numPr>
        <w:shd w:val="clear" w:color="auto" w:fill="FFFFFF"/>
        <w:tabs>
          <w:tab w:val="left" w:pos="567"/>
        </w:tabs>
        <w:spacing w:before="120" w:beforeAutospacing="0" w:after="120" w:afterAutospacing="0"/>
        <w:ind w:left="284" w:hanging="284"/>
        <w:rPr>
          <w:rFonts w:ascii="Garamond" w:hAnsi="Garamond"/>
          <w:u w:val="single"/>
          <w:lang w:val="en-GB"/>
        </w:rPr>
      </w:pPr>
      <w:r w:rsidRPr="00E821B5">
        <w:rPr>
          <w:rFonts w:ascii="Garamond" w:hAnsi="Garamond"/>
          <w:u w:val="single"/>
          <w:lang w:val="en-GB"/>
        </w:rPr>
        <w:t>The tobacco retail scandal</w:t>
      </w:r>
    </w:p>
    <w:p w:rsidR="006F1081" w:rsidRDefault="002A3FBB" w:rsidP="006F1081">
      <w:pPr>
        <w:pStyle w:val="NormlWeb"/>
        <w:shd w:val="clear" w:color="auto" w:fill="FFFFFF"/>
        <w:tabs>
          <w:tab w:val="left" w:pos="567"/>
        </w:tabs>
        <w:spacing w:before="120" w:beforeAutospacing="0" w:after="120" w:afterAutospacing="0"/>
        <w:ind w:left="284"/>
        <w:jc w:val="both"/>
        <w:rPr>
          <w:rFonts w:ascii="Garamond" w:hAnsi="Garamond"/>
          <w:lang w:val="en-GB"/>
        </w:rPr>
      </w:pPr>
      <w:r w:rsidRPr="009851A8">
        <w:rPr>
          <w:rFonts w:ascii="Garamond" w:hAnsi="Garamond"/>
          <w:lang w:val="en-GB"/>
        </w:rPr>
        <w:t>The Parliament, through passing the Tobacco Retailing Act, established a state monopoly on the retail sale of tobacco products from</w:t>
      </w:r>
      <w:r w:rsidR="0002337B">
        <w:rPr>
          <w:rFonts w:ascii="Garamond" w:hAnsi="Garamond"/>
          <w:lang w:val="en-GB"/>
        </w:rPr>
        <w:t xml:space="preserve"> 1 July </w:t>
      </w:r>
      <w:r w:rsidRPr="009851A8">
        <w:rPr>
          <w:rFonts w:ascii="Garamond" w:hAnsi="Garamond"/>
          <w:lang w:val="en-GB"/>
        </w:rPr>
        <w:t xml:space="preserve">2013. The government nationalized tobacco kiosks, claiming that a centralized means of selling tobacco products would limit its use by underage members of society. The new regulation provides a state-owned company the exclusive right to award long-term tobacco kiosk licenses. As a result of the redistribution, the number of tobacco selling points in the country decreased from approximately 40,000 to 5,000. Reportedly, many of the licenses went to retailers politically loyal to the governing </w:t>
      </w:r>
      <w:proofErr w:type="spellStart"/>
      <w:r w:rsidRPr="009851A8">
        <w:rPr>
          <w:rFonts w:ascii="Garamond" w:hAnsi="Garamond"/>
          <w:lang w:val="en-GB"/>
        </w:rPr>
        <w:t>Fidesz</w:t>
      </w:r>
      <w:proofErr w:type="spellEnd"/>
      <w:r w:rsidRPr="009851A8">
        <w:rPr>
          <w:rFonts w:ascii="Garamond" w:hAnsi="Garamond"/>
          <w:lang w:val="en-GB"/>
        </w:rPr>
        <w:t xml:space="preserve"> party</w:t>
      </w:r>
      <w:r w:rsidR="009851A8" w:rsidRPr="009851A8">
        <w:rPr>
          <w:rFonts w:ascii="Garamond" w:hAnsi="Garamond"/>
          <w:lang w:val="en-GB"/>
        </w:rPr>
        <w:t>.</w:t>
      </w:r>
      <w:r w:rsidRPr="009851A8">
        <w:rPr>
          <w:rFonts w:ascii="Garamond" w:hAnsi="Garamond"/>
          <w:vertAlign w:val="superscript"/>
          <w:lang w:val="en-GB"/>
        </w:rPr>
        <w:footnoteReference w:id="20"/>
      </w:r>
      <w:r w:rsidRPr="009851A8">
        <w:rPr>
          <w:rFonts w:ascii="Garamond" w:hAnsi="Garamond"/>
          <w:lang w:val="en-GB"/>
        </w:rPr>
        <w:t xml:space="preserve"> The details of the tender</w:t>
      </w:r>
      <w:r w:rsidRPr="009851A8">
        <w:rPr>
          <w:rFonts w:ascii="Garamond" w:hAnsi="Garamond"/>
          <w:vertAlign w:val="superscript"/>
          <w:lang w:val="en-GB"/>
        </w:rPr>
        <w:footnoteReference w:id="21"/>
      </w:r>
      <w:r w:rsidRPr="009851A8">
        <w:rPr>
          <w:rFonts w:ascii="Garamond" w:hAnsi="Garamond"/>
          <w:lang w:val="en-GB"/>
        </w:rPr>
        <w:t xml:space="preserve"> have remained closed to the public, which gave rise to corruption concerns. In addition, following the reallocation of tobacco kiosk licenses, the government significantly increased the rate of return on tobacco products, turning tobacco retailing into a lucrative business, but perceived by many as a clear proof of legalized rent seeking.</w:t>
      </w:r>
      <w:bookmarkEnd w:id="1"/>
      <w:bookmarkEnd w:id="2"/>
    </w:p>
    <w:p w:rsidR="002A3FBB" w:rsidRPr="009851A8" w:rsidRDefault="002A3FBB" w:rsidP="006F1081">
      <w:pPr>
        <w:pStyle w:val="NormlWeb"/>
        <w:shd w:val="clear" w:color="auto" w:fill="FFFFFF"/>
        <w:tabs>
          <w:tab w:val="left" w:pos="567"/>
        </w:tabs>
        <w:spacing w:before="120" w:beforeAutospacing="0" w:after="120" w:afterAutospacing="0"/>
        <w:ind w:left="284"/>
        <w:jc w:val="both"/>
        <w:rPr>
          <w:rFonts w:ascii="Garamond" w:hAnsi="Garamond"/>
          <w:lang w:val="en-GB"/>
        </w:rPr>
      </w:pPr>
      <w:r w:rsidRPr="009851A8">
        <w:rPr>
          <w:rFonts w:ascii="Garamond" w:hAnsi="Garamond"/>
          <w:lang w:val="en-GB"/>
        </w:rPr>
        <w:t xml:space="preserve">In April 2013, journalists uncovered that a previous version of the Tobacco Retailing Act, submitted on </w:t>
      </w:r>
      <w:r w:rsidR="004D399F">
        <w:rPr>
          <w:rFonts w:ascii="Garamond" w:hAnsi="Garamond"/>
          <w:lang w:val="en-GB"/>
        </w:rPr>
        <w:t xml:space="preserve">16 </w:t>
      </w:r>
      <w:r w:rsidRPr="009851A8">
        <w:rPr>
          <w:rFonts w:ascii="Garamond" w:hAnsi="Garamond"/>
          <w:lang w:val="en-GB"/>
        </w:rPr>
        <w:t>February 2013 to the European Commission, had been drafted on a computer belonging to the chief executive officer of Hungarian tobacco company Continental and chair of the Federation of Hunga</w:t>
      </w:r>
      <w:r w:rsidR="004D399F">
        <w:rPr>
          <w:rFonts w:ascii="Garamond" w:hAnsi="Garamond"/>
          <w:lang w:val="en-GB"/>
        </w:rPr>
        <w:t>rian Tobacco Investors, or the “tobacco lobby”</w:t>
      </w:r>
      <w:r w:rsidRPr="009851A8">
        <w:rPr>
          <w:rFonts w:ascii="Garamond" w:hAnsi="Garamond"/>
          <w:lang w:val="en-GB"/>
        </w:rPr>
        <w:t xml:space="preserve">, who admitted his involvement in continuous consultations leading to the adoption of the legislation. Investigative journalists also found that some 500 tobacco kiosk licenses out of a total number of 5,061 went to companies belonging to the interest group of Continental tobacco. In his comment, Mr. </w:t>
      </w:r>
      <w:proofErr w:type="spellStart"/>
      <w:r w:rsidRPr="009851A8">
        <w:rPr>
          <w:rFonts w:ascii="Garamond" w:hAnsi="Garamond"/>
          <w:lang w:val="en-GB"/>
        </w:rPr>
        <w:t>János</w:t>
      </w:r>
      <w:proofErr w:type="spellEnd"/>
      <w:r w:rsidRPr="009851A8">
        <w:rPr>
          <w:rFonts w:ascii="Garamond" w:hAnsi="Garamond"/>
          <w:lang w:val="en-GB"/>
        </w:rPr>
        <w:t xml:space="preserve"> </w:t>
      </w:r>
      <w:proofErr w:type="spellStart"/>
      <w:r w:rsidRPr="009851A8">
        <w:rPr>
          <w:rFonts w:ascii="Garamond" w:hAnsi="Garamond"/>
          <w:lang w:val="en-GB"/>
        </w:rPr>
        <w:t>Lázár</w:t>
      </w:r>
      <w:proofErr w:type="spellEnd"/>
      <w:r w:rsidRPr="009851A8">
        <w:rPr>
          <w:rFonts w:ascii="Garamond" w:hAnsi="Garamond"/>
          <w:lang w:val="en-GB"/>
        </w:rPr>
        <w:t xml:space="preserve">, then the governing </w:t>
      </w:r>
      <w:proofErr w:type="spellStart"/>
      <w:r w:rsidRPr="009851A8">
        <w:rPr>
          <w:rFonts w:ascii="Garamond" w:hAnsi="Garamond"/>
          <w:lang w:val="en-GB"/>
        </w:rPr>
        <w:t>Fidesz</w:t>
      </w:r>
      <w:proofErr w:type="spellEnd"/>
      <w:r w:rsidRPr="009851A8">
        <w:rPr>
          <w:rFonts w:ascii="Garamond" w:hAnsi="Garamond"/>
          <w:lang w:val="en-GB"/>
        </w:rPr>
        <w:t xml:space="preserve"> party’s politician in charge of the redistribution of the tobacco retail market, at present </w:t>
      </w:r>
      <w:r w:rsidR="004D399F">
        <w:rPr>
          <w:rFonts w:ascii="Garamond" w:hAnsi="Garamond"/>
          <w:lang w:val="en-GB"/>
        </w:rPr>
        <w:t xml:space="preserve">Minister </w:t>
      </w:r>
      <w:r w:rsidRPr="009851A8">
        <w:rPr>
          <w:rFonts w:ascii="Garamond" w:hAnsi="Garamond"/>
          <w:lang w:val="en-GB"/>
        </w:rPr>
        <w:t>of the Prime Minister’s Office, said that the Tobacco Retailing Act admittedly aimed at improving the business environment of Hungarian tobacco companies.</w:t>
      </w:r>
    </w:p>
    <w:p w:rsidR="002A3FBB" w:rsidRPr="009851A8" w:rsidRDefault="002A3FBB" w:rsidP="00465B5A">
      <w:pPr>
        <w:pStyle w:val="NormlWeb"/>
        <w:shd w:val="clear" w:color="auto" w:fill="FFFFFF"/>
        <w:tabs>
          <w:tab w:val="left" w:pos="567"/>
        </w:tabs>
        <w:spacing w:before="120" w:beforeAutospacing="0" w:after="120" w:afterAutospacing="0"/>
        <w:jc w:val="both"/>
        <w:rPr>
          <w:rFonts w:ascii="Garamond" w:hAnsi="Garamond"/>
          <w:i/>
          <w:lang w:val="en-GB"/>
        </w:rPr>
      </w:pPr>
    </w:p>
    <w:p w:rsidR="00D67DFC" w:rsidRPr="009851A8" w:rsidRDefault="00D67DFC" w:rsidP="00465B5A">
      <w:pPr>
        <w:pStyle w:val="NormlWeb"/>
        <w:shd w:val="clear" w:color="auto" w:fill="FFFFFF"/>
        <w:tabs>
          <w:tab w:val="left" w:pos="567"/>
        </w:tabs>
        <w:spacing w:before="120" w:beforeAutospacing="0" w:after="120" w:afterAutospacing="0"/>
        <w:jc w:val="both"/>
        <w:rPr>
          <w:rFonts w:ascii="Garamond" w:hAnsi="Garamond"/>
          <w:i/>
          <w:lang w:val="en-GB"/>
        </w:rPr>
      </w:pPr>
    </w:p>
    <w:p w:rsidR="00E70397" w:rsidRPr="00E821B5" w:rsidRDefault="00E70397" w:rsidP="00E70397">
      <w:pPr>
        <w:pStyle w:val="NormlWeb"/>
        <w:shd w:val="clear" w:color="auto" w:fill="FFFFFF"/>
        <w:tabs>
          <w:tab w:val="left" w:pos="567"/>
        </w:tabs>
        <w:spacing w:before="120" w:beforeAutospacing="0" w:after="120" w:afterAutospacing="0"/>
        <w:ind w:left="720"/>
        <w:rPr>
          <w:rFonts w:ascii="Garamond" w:hAnsi="Garamond"/>
          <w:u w:val="single"/>
          <w:lang w:val="en-GB"/>
        </w:rPr>
      </w:pPr>
    </w:p>
    <w:p w:rsidR="002A3FBB" w:rsidRPr="00E821B5" w:rsidRDefault="002A3FBB" w:rsidP="006F1081">
      <w:pPr>
        <w:pStyle w:val="NormlWeb"/>
        <w:numPr>
          <w:ilvl w:val="0"/>
          <w:numId w:val="17"/>
        </w:numPr>
        <w:shd w:val="clear" w:color="auto" w:fill="FFFFFF"/>
        <w:tabs>
          <w:tab w:val="left" w:pos="567"/>
        </w:tabs>
        <w:spacing w:before="120" w:beforeAutospacing="0" w:after="120" w:afterAutospacing="0"/>
        <w:ind w:left="284" w:hanging="284"/>
        <w:rPr>
          <w:rFonts w:ascii="Garamond" w:hAnsi="Garamond"/>
          <w:u w:val="single"/>
          <w:lang w:val="en-GB"/>
        </w:rPr>
      </w:pPr>
      <w:r w:rsidRPr="00E821B5">
        <w:rPr>
          <w:rFonts w:ascii="Garamond" w:hAnsi="Garamond"/>
          <w:u w:val="single"/>
          <w:lang w:val="en-GB"/>
        </w:rPr>
        <w:t>The savings cooperatives scandal</w:t>
      </w:r>
    </w:p>
    <w:p w:rsidR="002A3FBB" w:rsidRPr="009851A8" w:rsidRDefault="002A3FBB" w:rsidP="006F1081">
      <w:pPr>
        <w:pStyle w:val="NormlWeb"/>
        <w:shd w:val="clear" w:color="auto" w:fill="FFFFFF"/>
        <w:tabs>
          <w:tab w:val="left" w:pos="567"/>
        </w:tabs>
        <w:spacing w:before="120" w:beforeAutospacing="0" w:after="120" w:afterAutospacing="0"/>
        <w:ind w:left="284"/>
        <w:jc w:val="both"/>
        <w:rPr>
          <w:rFonts w:ascii="Garamond" w:hAnsi="Garamond"/>
          <w:lang w:val="en-GB"/>
        </w:rPr>
      </w:pPr>
      <w:r w:rsidRPr="009851A8">
        <w:rPr>
          <w:rFonts w:ascii="Garamond" w:hAnsi="Garamond"/>
          <w:lang w:val="en-GB"/>
        </w:rPr>
        <w:t xml:space="preserve">Savings cooperatives are private owned financial (credit) institutions with a nationwide network of customer service points. The government, relying on its supermajority in Parliament, adopted a law in 2013 that forced savings cooperatives to join a non-voluntary integration framework entitled to substantially influence the members’ business policy and even to veto any amendment to their deed of foundation. This newly designed integration mechanism is dominated by </w:t>
      </w:r>
      <w:proofErr w:type="spellStart"/>
      <w:r w:rsidRPr="009851A8">
        <w:rPr>
          <w:rFonts w:ascii="Garamond" w:hAnsi="Garamond"/>
          <w:lang w:val="en-GB"/>
        </w:rPr>
        <w:t>Takarékbank</w:t>
      </w:r>
      <w:proofErr w:type="spellEnd"/>
      <w:r w:rsidRPr="009851A8">
        <w:rPr>
          <w:rFonts w:ascii="Garamond" w:hAnsi="Garamond"/>
          <w:lang w:val="en-GB"/>
        </w:rPr>
        <w:t xml:space="preserve"> [Savings Bank] Ltd., a commercial bank originally under the principal ownership of savings cooperatives, which, through state owned enterprises, has been nationalized. As a second step, the government re-privatized the quorum of this bank’s shares to an interest group closely knit to the governing </w:t>
      </w:r>
      <w:proofErr w:type="spellStart"/>
      <w:r w:rsidRPr="009851A8">
        <w:rPr>
          <w:rFonts w:ascii="Garamond" w:hAnsi="Garamond"/>
          <w:lang w:val="en-GB"/>
        </w:rPr>
        <w:t>Fidesz</w:t>
      </w:r>
      <w:proofErr w:type="spellEnd"/>
      <w:r w:rsidRPr="009851A8">
        <w:rPr>
          <w:rFonts w:ascii="Garamond" w:hAnsi="Garamond"/>
          <w:lang w:val="en-GB"/>
        </w:rPr>
        <w:t xml:space="preserve"> party. The newly appointed CEO of the </w:t>
      </w:r>
      <w:proofErr w:type="spellStart"/>
      <w:r w:rsidRPr="009851A8">
        <w:rPr>
          <w:rFonts w:ascii="Garamond" w:hAnsi="Garamond"/>
          <w:lang w:val="en-GB"/>
        </w:rPr>
        <w:t>Takarékbank</w:t>
      </w:r>
      <w:proofErr w:type="spellEnd"/>
      <w:r w:rsidRPr="009851A8">
        <w:rPr>
          <w:rFonts w:ascii="Garamond" w:hAnsi="Garamond"/>
          <w:lang w:val="en-GB"/>
        </w:rPr>
        <w:t xml:space="preserve"> Ltd., who acts in the meantime as the government’s commissioner to reshuffle the savings cooperatives sector was a co-owner of the single bidder, who, unsurprisingly, won the formally open tender. The </w:t>
      </w:r>
      <w:r w:rsidR="00B757AF">
        <w:rPr>
          <w:rFonts w:ascii="Garamond" w:hAnsi="Garamond"/>
          <w:lang w:val="en-GB"/>
        </w:rPr>
        <w:t>government, due to clandestine “strategic”</w:t>
      </w:r>
      <w:r w:rsidRPr="009851A8">
        <w:rPr>
          <w:rFonts w:ascii="Garamond" w:hAnsi="Garamond"/>
          <w:lang w:val="en-GB"/>
        </w:rPr>
        <w:t xml:space="preserve"> considerations, gave green</w:t>
      </w:r>
      <w:r w:rsidR="00B757AF">
        <w:rPr>
          <w:rFonts w:ascii="Garamond" w:hAnsi="Garamond"/>
          <w:lang w:val="en-GB"/>
        </w:rPr>
        <w:t xml:space="preserve"> </w:t>
      </w:r>
      <w:r w:rsidRPr="009851A8">
        <w:rPr>
          <w:rFonts w:ascii="Garamond" w:hAnsi="Garamond"/>
          <w:lang w:val="en-GB"/>
        </w:rPr>
        <w:t xml:space="preserve">light to the corporatization of the </w:t>
      </w:r>
      <w:proofErr w:type="spellStart"/>
      <w:r w:rsidRPr="009851A8">
        <w:rPr>
          <w:rFonts w:ascii="Garamond" w:hAnsi="Garamond"/>
          <w:lang w:val="en-GB"/>
        </w:rPr>
        <w:t>Takarékbank</w:t>
      </w:r>
      <w:proofErr w:type="spellEnd"/>
      <w:r w:rsidRPr="009851A8">
        <w:rPr>
          <w:rFonts w:ascii="Garamond" w:hAnsi="Garamond"/>
          <w:lang w:val="en-GB"/>
        </w:rPr>
        <w:t xml:space="preserve"> Ltd., and exempted the process from the</w:t>
      </w:r>
      <w:r w:rsidR="00242E50">
        <w:rPr>
          <w:rFonts w:ascii="Garamond" w:hAnsi="Garamond"/>
          <w:lang w:val="en-GB"/>
        </w:rPr>
        <w:t xml:space="preserve"> oversight of the Economic Comp</w:t>
      </w:r>
      <w:r w:rsidRPr="009851A8">
        <w:rPr>
          <w:rFonts w:ascii="Garamond" w:hAnsi="Garamond"/>
          <w:lang w:val="en-GB"/>
        </w:rPr>
        <w:t>eti</w:t>
      </w:r>
      <w:r w:rsidR="00242E50">
        <w:rPr>
          <w:rFonts w:ascii="Garamond" w:hAnsi="Garamond"/>
          <w:lang w:val="en-GB"/>
        </w:rPr>
        <w:t>ti</w:t>
      </w:r>
      <w:r w:rsidRPr="009851A8">
        <w:rPr>
          <w:rFonts w:ascii="Garamond" w:hAnsi="Garamond"/>
          <w:lang w:val="en-GB"/>
        </w:rPr>
        <w:t xml:space="preserve">on Office. </w:t>
      </w:r>
    </w:p>
    <w:p w:rsidR="002A3FBB" w:rsidRPr="009851A8" w:rsidRDefault="002A3FBB" w:rsidP="006F1081">
      <w:pPr>
        <w:pStyle w:val="NormlWeb"/>
        <w:spacing w:before="120" w:beforeAutospacing="0" w:after="120" w:afterAutospacing="0"/>
        <w:ind w:left="284"/>
        <w:jc w:val="both"/>
        <w:rPr>
          <w:rFonts w:ascii="Garamond" w:hAnsi="Garamond"/>
          <w:lang w:val="en-GB"/>
        </w:rPr>
      </w:pPr>
      <w:r w:rsidRPr="009851A8">
        <w:rPr>
          <w:rFonts w:ascii="Garamond" w:hAnsi="Garamond"/>
          <w:lang w:val="en-GB"/>
        </w:rPr>
        <w:t xml:space="preserve">In sum, the government allocated public money to augment the subscribed capital of a private savings bank which controls the savings cooperatives to later concede the newly acquired ownership rights to its cronies. </w:t>
      </w:r>
    </w:p>
    <w:p w:rsidR="002A3FBB" w:rsidRPr="009851A8" w:rsidRDefault="002A3FBB" w:rsidP="00465B5A">
      <w:pPr>
        <w:pStyle w:val="NormlWeb"/>
        <w:shd w:val="clear" w:color="auto" w:fill="FFFFFF"/>
        <w:tabs>
          <w:tab w:val="left" w:pos="567"/>
        </w:tabs>
        <w:spacing w:before="120" w:beforeAutospacing="0" w:after="120" w:afterAutospacing="0"/>
        <w:jc w:val="both"/>
        <w:rPr>
          <w:rFonts w:ascii="Garamond" w:hAnsi="Garamond"/>
          <w:lang w:val="en-GB"/>
        </w:rPr>
      </w:pPr>
    </w:p>
    <w:sectPr w:rsidR="002A3FBB" w:rsidRPr="009851A8" w:rsidSect="00BF5175">
      <w:headerReference w:type="default" r:id="rId8"/>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160" w:rsidRDefault="008E1160" w:rsidP="00C7697B">
      <w:pPr>
        <w:spacing w:after="0" w:line="240" w:lineRule="auto"/>
      </w:pPr>
      <w:r>
        <w:separator/>
      </w:r>
    </w:p>
  </w:endnote>
  <w:endnote w:type="continuationSeparator" w:id="0">
    <w:p w:rsidR="008E1160" w:rsidRDefault="008E1160" w:rsidP="00C76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TTE1BFD5A0t00">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MyriadPro-Regular">
    <w:altName w:val="Arial"/>
    <w:panose1 w:val="00000000000000000000"/>
    <w:charset w:val="00"/>
    <w:family w:val="swiss"/>
    <w:notTrueType/>
    <w:pitch w:val="default"/>
    <w:sig w:usb0="00000003" w:usb1="00000000" w:usb2="00000000" w:usb3="00000000" w:csb0="00000001" w:csb1="00000000"/>
  </w:font>
  <w:font w:name="TTE1AF73B0t00">
    <w:altName w:val="Times New Roman"/>
    <w:panose1 w:val="00000000000000000000"/>
    <w:charset w:val="00"/>
    <w:family w:val="auto"/>
    <w:notTrueType/>
    <w:pitch w:val="default"/>
    <w:sig w:usb0="00000003" w:usb1="00000000" w:usb2="00000000" w:usb3="00000000" w:csb0="00000001" w:csb1="00000000"/>
  </w:font>
  <w:font w:name="TTE1B794B8t00">
    <w:altName w:val="Times New Roman"/>
    <w:panose1 w:val="00000000000000000000"/>
    <w:charset w:val="00"/>
    <w:family w:val="auto"/>
    <w:notTrueType/>
    <w:pitch w:val="default"/>
    <w:sig w:usb0="00000003" w:usb1="00000000" w:usb2="00000000" w:usb3="00000000" w:csb0="00000001" w:csb1="00000000"/>
  </w:font>
  <w:font w:name="TTE1B60520t00">
    <w:altName w:val="Times New Roman"/>
    <w:panose1 w:val="00000000000000000000"/>
    <w:charset w:val="00"/>
    <w:family w:val="auto"/>
    <w:notTrueType/>
    <w:pitch w:val="default"/>
    <w:sig w:usb0="00000003" w:usb1="00000000" w:usb2="00000000" w:usb3="00000000" w:csb0="00000001" w:csb1="00000000"/>
  </w:font>
  <w:font w:name="TTEDt00">
    <w:altName w:val="Times New Roman"/>
    <w:panose1 w:val="00000000000000000000"/>
    <w:charset w:val="00"/>
    <w:family w:val="auto"/>
    <w:notTrueType/>
    <w:pitch w:val="default"/>
    <w:sig w:usb0="00000003" w:usb1="00000000" w:usb2="00000000" w:usb3="00000000" w:csb0="00000001" w:csb1="00000000"/>
  </w:font>
  <w:font w:name="TTEEt00">
    <w:altName w:val="Times New Roman"/>
    <w:panose1 w:val="00000000000000000000"/>
    <w:charset w:val="00"/>
    <w:family w:val="auto"/>
    <w:notTrueType/>
    <w:pitch w:val="default"/>
    <w:sig w:usb0="00000003" w:usb1="00000000" w:usb2="00000000" w:usb3="00000000" w:csb0="00000001" w:csb1="00000000"/>
  </w:font>
  <w:font w:name="Garamond-Bold">
    <w:altName w:val="Times New Roman"/>
    <w:panose1 w:val="00000000000000000000"/>
    <w:charset w:val="00"/>
    <w:family w:val="roman"/>
    <w:notTrueType/>
    <w:pitch w:val="default"/>
    <w:sig w:usb0="00000007" w:usb1="00000000" w:usb2="00000000" w:usb3="00000000" w:csb0="00000003" w:csb1="00000000"/>
  </w:font>
  <w:font w:name="TT1B8t00">
    <w:altName w:val="Times New Roman"/>
    <w:panose1 w:val="00000000000000000000"/>
    <w:charset w:val="00"/>
    <w:family w:val="auto"/>
    <w:notTrueType/>
    <w:pitch w:val="default"/>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160" w:rsidRDefault="008E1160" w:rsidP="00C7697B">
      <w:pPr>
        <w:spacing w:after="0" w:line="240" w:lineRule="auto"/>
      </w:pPr>
      <w:r>
        <w:separator/>
      </w:r>
    </w:p>
  </w:footnote>
  <w:footnote w:type="continuationSeparator" w:id="0">
    <w:p w:rsidR="008E1160" w:rsidRDefault="008E1160" w:rsidP="00C7697B">
      <w:pPr>
        <w:spacing w:after="0" w:line="240" w:lineRule="auto"/>
      </w:pPr>
      <w:r>
        <w:continuationSeparator/>
      </w:r>
    </w:p>
  </w:footnote>
  <w:footnote w:id="1">
    <w:p w:rsidR="005C7A99" w:rsidRPr="00EE61D7" w:rsidRDefault="005C7A99" w:rsidP="00EE61D7">
      <w:pPr>
        <w:pStyle w:val="Lbjegyzetszveg"/>
        <w:rPr>
          <w:rFonts w:ascii="Garamond" w:hAnsi="Garamond"/>
          <w:lang w:val="en-GB"/>
        </w:rPr>
      </w:pPr>
      <w:r w:rsidRPr="00EE61D7">
        <w:rPr>
          <w:rStyle w:val="Lbjegyzet-hivatkozs"/>
          <w:rFonts w:ascii="Garamond" w:hAnsi="Garamond"/>
          <w:lang w:val="en-GB"/>
        </w:rPr>
        <w:footnoteRef/>
      </w:r>
      <w:r w:rsidRPr="00EE61D7">
        <w:rPr>
          <w:rFonts w:ascii="Garamond" w:hAnsi="Garamond"/>
          <w:lang w:val="en-GB"/>
        </w:rPr>
        <w:t xml:space="preserve"> For the related criticism of the Venice Commission, see: </w:t>
      </w:r>
      <w:r w:rsidRPr="00EE61D7">
        <w:rPr>
          <w:rFonts w:ascii="Garamond" w:hAnsi="Garamond"/>
          <w:i/>
          <w:lang w:val="en-GB"/>
        </w:rPr>
        <w:t>Opinion on the Fourth Amendment to the Fundamental Law of Hungary</w:t>
      </w:r>
      <w:r w:rsidRPr="00EE61D7">
        <w:rPr>
          <w:rFonts w:ascii="Garamond" w:hAnsi="Garamond"/>
          <w:lang w:val="en-GB"/>
        </w:rPr>
        <w:t>, CDL-</w:t>
      </w:r>
      <w:proofErr w:type="gramStart"/>
      <w:r w:rsidRPr="00EE61D7">
        <w:rPr>
          <w:rFonts w:ascii="Garamond" w:hAnsi="Garamond"/>
          <w:lang w:val="en-GB"/>
        </w:rPr>
        <w:t>AD(</w:t>
      </w:r>
      <w:proofErr w:type="gramEnd"/>
      <w:r w:rsidRPr="00EE61D7">
        <w:rPr>
          <w:rFonts w:ascii="Garamond" w:hAnsi="Garamond"/>
          <w:lang w:val="en-GB"/>
        </w:rPr>
        <w:t xml:space="preserve">2013)012, Strasbourg, Council of Europe, 17 June 2013, </w:t>
      </w:r>
      <w:hyperlink r:id="rId1" w:history="1">
        <w:r w:rsidRPr="00EE61D7">
          <w:rPr>
            <w:rStyle w:val="Hiperhivatkozs"/>
            <w:rFonts w:ascii="Garamond" w:hAnsi="Garamond"/>
            <w:lang w:val="en-GB"/>
          </w:rPr>
          <w:t>www.venice.coe.int/webforms/documents/?pdf=CDL-AD%282013%29012-e</w:t>
        </w:r>
      </w:hyperlink>
      <w:r w:rsidRPr="00EE61D7">
        <w:rPr>
          <w:rFonts w:ascii="Garamond" w:hAnsi="Garamond"/>
          <w:lang w:val="en-GB"/>
        </w:rPr>
        <w:t xml:space="preserve">. </w:t>
      </w:r>
    </w:p>
  </w:footnote>
  <w:footnote w:id="2">
    <w:p w:rsidR="005C7A99" w:rsidRPr="00EE61D7" w:rsidRDefault="005C7A99" w:rsidP="00EE61D7">
      <w:pPr>
        <w:pStyle w:val="Lbjegyzetszveg"/>
        <w:rPr>
          <w:rFonts w:ascii="Garamond" w:hAnsi="Garamond"/>
          <w:lang w:val="en-GB"/>
        </w:rPr>
      </w:pPr>
      <w:r w:rsidRPr="00EE61D7">
        <w:rPr>
          <w:rStyle w:val="Lbjegyzet-hivatkozs"/>
          <w:rFonts w:ascii="Garamond" w:hAnsi="Garamond"/>
          <w:lang w:val="en-GB"/>
        </w:rPr>
        <w:footnoteRef/>
      </w:r>
      <w:r w:rsidRPr="00EE61D7">
        <w:rPr>
          <w:rFonts w:ascii="Garamond" w:hAnsi="Garamond"/>
          <w:lang w:val="en-GB"/>
        </w:rPr>
        <w:t xml:space="preserve"> For an analysis in English on the framing process of the Fundamental Law, see: </w:t>
      </w:r>
      <w:hyperlink r:id="rId2" w:history="1">
        <w:r w:rsidRPr="00EE61D7">
          <w:rPr>
            <w:rStyle w:val="Hiperhivatkozs"/>
            <w:rFonts w:ascii="Garamond" w:hAnsi="Garamond"/>
            <w:lang w:val="en-GB"/>
          </w:rPr>
          <w:t>http://helsinki.hu/wp-content/uploads/Comments_on_the_Process_of_Framing_the_New_Constitution_of_Hungary_EKI_HCLU_HHC.pdf</w:t>
        </w:r>
      </w:hyperlink>
      <w:r w:rsidRPr="00EE61D7">
        <w:rPr>
          <w:rFonts w:ascii="Garamond" w:hAnsi="Garamond"/>
          <w:lang w:val="en-GB"/>
        </w:rPr>
        <w:t>.</w:t>
      </w:r>
    </w:p>
  </w:footnote>
  <w:footnote w:id="3">
    <w:p w:rsidR="005C7A99" w:rsidRPr="00EE61D7" w:rsidRDefault="005C7A99" w:rsidP="00EE61D7">
      <w:pPr>
        <w:pStyle w:val="Lbjegyzetszveg"/>
        <w:rPr>
          <w:rFonts w:ascii="Garamond" w:hAnsi="Garamond"/>
          <w:lang w:val="en-GB"/>
        </w:rPr>
      </w:pPr>
      <w:r w:rsidRPr="00EE61D7">
        <w:rPr>
          <w:rStyle w:val="Lbjegyzet-hivatkozs"/>
          <w:rFonts w:ascii="Garamond" w:hAnsi="Garamond"/>
          <w:lang w:val="en-GB"/>
        </w:rPr>
        <w:footnoteRef/>
      </w:r>
      <w:r w:rsidRPr="00EE61D7">
        <w:rPr>
          <w:rFonts w:ascii="Garamond" w:hAnsi="Garamond"/>
          <w:lang w:val="en-GB"/>
        </w:rPr>
        <w:t xml:space="preserve"> For examples in English of how e.g. the Fourth Amendment to the Fundamental Law overruled decisions of the Constitutional Court, see: </w:t>
      </w:r>
      <w:hyperlink r:id="rId3" w:history="1">
        <w:r w:rsidRPr="00EE61D7">
          <w:rPr>
            <w:rStyle w:val="Hiperhivatkozs"/>
            <w:rFonts w:ascii="Garamond" w:hAnsi="Garamond"/>
            <w:lang w:val="en-GB"/>
          </w:rPr>
          <w:t>http://helsinki.hu/wp-content/uploads/Constitutional-Court-vs-Fourth-Amendment.pdf</w:t>
        </w:r>
      </w:hyperlink>
      <w:r w:rsidRPr="00EE61D7">
        <w:rPr>
          <w:rFonts w:ascii="Garamond" w:hAnsi="Garamond"/>
          <w:lang w:val="en-GB"/>
        </w:rPr>
        <w:t xml:space="preserve">. </w:t>
      </w:r>
    </w:p>
  </w:footnote>
  <w:footnote w:id="4">
    <w:p w:rsidR="005C7A99" w:rsidRPr="00EE61D7" w:rsidRDefault="005C7A99" w:rsidP="00EE61D7">
      <w:pPr>
        <w:pStyle w:val="Lbjegyzetszveg"/>
        <w:rPr>
          <w:rFonts w:ascii="Garamond" w:hAnsi="Garamond"/>
          <w:lang w:val="en-GB"/>
        </w:rPr>
      </w:pPr>
      <w:r w:rsidRPr="00EE61D7">
        <w:rPr>
          <w:rStyle w:val="Lbjegyzet-hivatkozs"/>
          <w:rFonts w:ascii="Garamond" w:hAnsi="Garamond"/>
          <w:lang w:val="en-GB"/>
        </w:rPr>
        <w:footnoteRef/>
      </w:r>
      <w:r w:rsidRPr="00EE61D7">
        <w:rPr>
          <w:rFonts w:ascii="Garamond" w:hAnsi="Garamond"/>
          <w:lang w:val="en-GB"/>
        </w:rPr>
        <w:t xml:space="preserve"> For the related criticism of the Venice Commission, see: </w:t>
      </w:r>
      <w:r w:rsidRPr="00EE61D7">
        <w:rPr>
          <w:rFonts w:ascii="Garamond" w:hAnsi="Garamond"/>
          <w:i/>
          <w:lang w:val="en-GB"/>
        </w:rPr>
        <w:t>Opinion on the Fourth Amendment to the Fundamental Law of Hungary</w:t>
      </w:r>
      <w:r w:rsidRPr="00EE61D7">
        <w:rPr>
          <w:rFonts w:ascii="Garamond" w:hAnsi="Garamond"/>
          <w:lang w:val="en-GB"/>
        </w:rPr>
        <w:t>, CDL-</w:t>
      </w:r>
      <w:proofErr w:type="gramStart"/>
      <w:r w:rsidRPr="00EE61D7">
        <w:rPr>
          <w:rFonts w:ascii="Garamond" w:hAnsi="Garamond"/>
          <w:lang w:val="en-GB"/>
        </w:rPr>
        <w:t>AD(</w:t>
      </w:r>
      <w:proofErr w:type="gramEnd"/>
      <w:r w:rsidRPr="00EE61D7">
        <w:rPr>
          <w:rFonts w:ascii="Garamond" w:hAnsi="Garamond"/>
          <w:lang w:val="en-GB"/>
        </w:rPr>
        <w:t xml:space="preserve">2013)012, Strasbourg, Council of Europe, 17 June 2013, </w:t>
      </w:r>
      <w:hyperlink r:id="rId4" w:history="1">
        <w:r w:rsidRPr="00EE61D7">
          <w:rPr>
            <w:rStyle w:val="Hiperhivatkozs"/>
            <w:rFonts w:ascii="Garamond" w:hAnsi="Garamond"/>
            <w:lang w:val="en-GB"/>
          </w:rPr>
          <w:t>www.venice.coe.int/webforms/documents/?pdf=CDL-AD%282013%29012-e</w:t>
        </w:r>
      </w:hyperlink>
      <w:r w:rsidRPr="00EE61D7">
        <w:rPr>
          <w:rFonts w:ascii="Garamond" w:hAnsi="Garamond"/>
          <w:lang w:val="en-GB"/>
        </w:rPr>
        <w:t xml:space="preserve">. For further information in English, see e.g.: </w:t>
      </w:r>
      <w:hyperlink r:id="rId5" w:history="1">
        <w:r w:rsidRPr="00EE61D7">
          <w:rPr>
            <w:rStyle w:val="Hiperhivatkozs"/>
            <w:rFonts w:ascii="Garamond" w:hAnsi="Garamond"/>
            <w:lang w:val="en-GB"/>
          </w:rPr>
          <w:t>http://helsinki.hu/wp-content/uploads/Main_concerns_regarding_the_4th_Amendment_to_the_Fundamental_Law_of_Hungary_13032013.pdf</w:t>
        </w:r>
      </w:hyperlink>
      <w:r w:rsidRPr="00EE61D7">
        <w:rPr>
          <w:rFonts w:ascii="Garamond" w:hAnsi="Garamond"/>
          <w:lang w:val="en-GB"/>
        </w:rPr>
        <w:t>, pp 1-5.</w:t>
      </w:r>
    </w:p>
  </w:footnote>
  <w:footnote w:id="5">
    <w:p w:rsidR="005C7A99" w:rsidRPr="00EE61D7" w:rsidRDefault="005C7A99" w:rsidP="00EE61D7">
      <w:pPr>
        <w:pStyle w:val="Lbjegyzetszveg"/>
        <w:rPr>
          <w:rFonts w:ascii="Garamond" w:hAnsi="Garamond"/>
          <w:lang w:val="en-GB"/>
        </w:rPr>
      </w:pPr>
      <w:r w:rsidRPr="00EE61D7">
        <w:rPr>
          <w:rStyle w:val="Lbjegyzet-hivatkozs"/>
          <w:rFonts w:ascii="Garamond" w:hAnsi="Garamond"/>
          <w:lang w:val="en-GB"/>
        </w:rPr>
        <w:footnoteRef/>
      </w:r>
      <w:r w:rsidRPr="00EE61D7">
        <w:rPr>
          <w:rFonts w:ascii="Garamond" w:hAnsi="Garamond"/>
          <w:lang w:val="en-GB"/>
        </w:rPr>
        <w:t xml:space="preserve"> For further details in English, see: </w:t>
      </w:r>
      <w:hyperlink r:id="rId6" w:tgtFrame="_blank" w:history="1">
        <w:r w:rsidRPr="00EE61D7">
          <w:rPr>
            <w:rStyle w:val="Hiperhivatkozs"/>
            <w:rFonts w:ascii="Garamond" w:hAnsi="Garamond"/>
            <w:lang w:val="en-GB"/>
          </w:rPr>
          <w:t>http://helsinki.hu/en/abolishing-the-age-limit-regarding-constitutional-court-judges</w:t>
        </w:r>
      </w:hyperlink>
      <w:r w:rsidRPr="00EE61D7">
        <w:rPr>
          <w:rFonts w:ascii="Garamond" w:hAnsi="Garamond"/>
          <w:lang w:val="en-GB"/>
        </w:rPr>
        <w:t>.</w:t>
      </w:r>
    </w:p>
  </w:footnote>
  <w:footnote w:id="6">
    <w:p w:rsidR="00EE61D7" w:rsidRDefault="00EE61D7" w:rsidP="00EE61D7">
      <w:pPr>
        <w:pStyle w:val="Lbjegyzetszveg"/>
        <w:rPr>
          <w:rFonts w:ascii="Garamond" w:hAnsi="Garamond"/>
          <w:i/>
          <w:lang w:val="en-GB"/>
        </w:rPr>
      </w:pPr>
      <w:r w:rsidRPr="00EE61D7">
        <w:rPr>
          <w:rStyle w:val="Lbjegyzet-hivatkozs"/>
          <w:rFonts w:ascii="Garamond" w:hAnsi="Garamond"/>
          <w:lang w:val="en-GB"/>
        </w:rPr>
        <w:footnoteRef/>
      </w:r>
      <w:r w:rsidRPr="00EE61D7">
        <w:rPr>
          <w:rFonts w:ascii="Garamond" w:hAnsi="Garamond"/>
          <w:lang w:val="en-GB"/>
        </w:rPr>
        <w:t xml:space="preserve"> For further information, see the respective opinions of the Venice Commission:</w:t>
      </w:r>
      <w:r w:rsidRPr="00EE61D7">
        <w:rPr>
          <w:rFonts w:ascii="Garamond" w:hAnsi="Garamond"/>
          <w:i/>
          <w:lang w:val="en-GB"/>
        </w:rPr>
        <w:t xml:space="preserve"> </w:t>
      </w:r>
    </w:p>
    <w:p w:rsidR="00EE61D7" w:rsidRDefault="00EE61D7" w:rsidP="00EE61D7">
      <w:pPr>
        <w:pStyle w:val="Lbjegyzetszveg"/>
        <w:rPr>
          <w:rFonts w:ascii="Garamond" w:hAnsi="Garamond"/>
          <w:lang w:val="en-GB"/>
        </w:rPr>
      </w:pPr>
      <w:r w:rsidRPr="00EE61D7">
        <w:rPr>
          <w:rFonts w:ascii="Garamond" w:hAnsi="Garamond"/>
          <w:i/>
          <w:lang w:val="en-GB"/>
        </w:rPr>
        <w:t xml:space="preserve">Opinion on Act CLXII of 2011 on the Legal Status and Remuneration of Judges and Act CLXI of 2011 on the Organisation and Administration of Courts of Hungary, </w:t>
      </w:r>
      <w:r w:rsidRPr="00EE61D7">
        <w:rPr>
          <w:rFonts w:ascii="Garamond" w:hAnsi="Garamond"/>
          <w:lang w:val="en-GB" w:eastAsia="hu-HU"/>
        </w:rPr>
        <w:t xml:space="preserve">Strasbourg, 19 March 2012, </w:t>
      </w:r>
      <w:hyperlink r:id="rId7" w:history="1">
        <w:r w:rsidRPr="00EE61D7">
          <w:rPr>
            <w:rStyle w:val="Hiperhivatkozs"/>
            <w:rFonts w:ascii="Garamond" w:hAnsi="Garamond"/>
            <w:lang w:val="en-GB" w:eastAsia="hu-HU"/>
          </w:rPr>
          <w:t>www.venice.coe.int/docs/2012/CDL-AD%282012%29001-e.pdf</w:t>
        </w:r>
      </w:hyperlink>
      <w:r w:rsidRPr="00EE61D7">
        <w:rPr>
          <w:rFonts w:ascii="Garamond" w:hAnsi="Garamond"/>
          <w:lang w:val="en-GB"/>
        </w:rPr>
        <w:t xml:space="preserve">; </w:t>
      </w:r>
    </w:p>
    <w:p w:rsidR="00EE61D7" w:rsidRPr="00EE61D7" w:rsidRDefault="00EE61D7" w:rsidP="00EE61D7">
      <w:pPr>
        <w:pStyle w:val="Lbjegyzetszveg"/>
        <w:rPr>
          <w:rFonts w:ascii="Garamond" w:hAnsi="Garamond"/>
          <w:lang w:val="en-GB"/>
        </w:rPr>
      </w:pPr>
      <w:r w:rsidRPr="00EE61D7">
        <w:rPr>
          <w:rFonts w:ascii="Garamond" w:hAnsi="Garamond"/>
          <w:bCs/>
          <w:i/>
          <w:lang w:val="en-GB"/>
        </w:rPr>
        <w:t xml:space="preserve">Opinion on the cardinal acts on the judiciary </w:t>
      </w:r>
      <w:r w:rsidRPr="00EE61D7">
        <w:rPr>
          <w:rFonts w:ascii="Garamond" w:hAnsi="Garamond"/>
          <w:i/>
          <w:lang w:val="en-GB"/>
        </w:rPr>
        <w:t>t</w:t>
      </w:r>
      <w:r w:rsidRPr="00EE61D7">
        <w:rPr>
          <w:rFonts w:ascii="Garamond" w:hAnsi="Garamond"/>
          <w:bCs/>
          <w:i/>
          <w:lang w:val="en-GB"/>
        </w:rPr>
        <w:t>hat were amended following the adoption of Opinion CDL-AD(2012)001 on Hungary</w:t>
      </w:r>
      <w:r w:rsidRPr="00EE61D7">
        <w:rPr>
          <w:rFonts w:ascii="Garamond" w:hAnsi="Garamond"/>
          <w:bCs/>
          <w:lang w:val="en-GB"/>
        </w:rPr>
        <w:t xml:space="preserve">, </w:t>
      </w:r>
      <w:r w:rsidRPr="00EE61D7">
        <w:rPr>
          <w:rStyle w:val="docref"/>
          <w:rFonts w:ascii="Garamond" w:hAnsi="Garamond"/>
          <w:lang w:val="en-GB"/>
        </w:rPr>
        <w:t>CDL-AD(2012)020</w:t>
      </w:r>
      <w:r w:rsidRPr="00EE61D7">
        <w:rPr>
          <w:rFonts w:ascii="Garamond" w:hAnsi="Garamond"/>
          <w:bCs/>
          <w:lang w:val="en-GB"/>
        </w:rPr>
        <w:t xml:space="preserve">, Strasbourg, 15 October 2012, </w:t>
      </w:r>
      <w:hyperlink r:id="rId8" w:history="1">
        <w:r w:rsidRPr="00EE61D7">
          <w:rPr>
            <w:rStyle w:val="Hiperhivatkozs"/>
            <w:rFonts w:ascii="Garamond" w:hAnsi="Garamond"/>
            <w:lang w:val="en-GB"/>
          </w:rPr>
          <w:t>www.venice.coe.int/docs/2012/CDL-AD%282012%29020-e.pdf</w:t>
        </w:r>
      </w:hyperlink>
    </w:p>
  </w:footnote>
  <w:footnote w:id="7">
    <w:p w:rsidR="0081081E" w:rsidRPr="00EE61D7" w:rsidRDefault="0081081E" w:rsidP="00EE61D7">
      <w:pPr>
        <w:pStyle w:val="Lbjegyzetszveg"/>
        <w:rPr>
          <w:rFonts w:ascii="Garamond" w:hAnsi="Garamond"/>
          <w:lang w:val="en-GB"/>
        </w:rPr>
      </w:pPr>
      <w:r w:rsidRPr="00EE61D7">
        <w:rPr>
          <w:rStyle w:val="Lbjegyzet-hivatkozs"/>
          <w:rFonts w:ascii="Garamond" w:hAnsi="Garamond"/>
          <w:lang w:val="en-GB"/>
        </w:rPr>
        <w:footnoteRef/>
      </w:r>
      <w:r w:rsidRPr="00EE61D7">
        <w:rPr>
          <w:rFonts w:ascii="Garamond" w:hAnsi="Garamond"/>
          <w:lang w:val="en-GB"/>
        </w:rPr>
        <w:t xml:space="preserve"> </w:t>
      </w:r>
      <w:r w:rsidRPr="00EE61D7">
        <w:rPr>
          <w:rFonts w:ascii="Garamond" w:hAnsi="Garamond"/>
          <w:bCs/>
          <w:i/>
          <w:lang w:val="en-GB"/>
        </w:rPr>
        <w:t xml:space="preserve">Request for the opening of a monitoring procedure in respect of Hungary – Opinion, </w:t>
      </w:r>
      <w:r w:rsidRPr="00EE61D7">
        <w:rPr>
          <w:rFonts w:ascii="Garamond" w:hAnsi="Garamond"/>
          <w:lang w:val="en-GB"/>
        </w:rPr>
        <w:t xml:space="preserve">25 April 2013, </w:t>
      </w:r>
      <w:hyperlink r:id="rId9" w:history="1">
        <w:r w:rsidRPr="00EE61D7">
          <w:rPr>
            <w:rStyle w:val="Hiperhivatkozs"/>
            <w:rFonts w:ascii="Garamond" w:hAnsi="Garamond"/>
            <w:lang w:val="en-GB"/>
          </w:rPr>
          <w:t>www.assembly.coe.int/Communication/amondoc08_2013.pdf</w:t>
        </w:r>
      </w:hyperlink>
      <w:r w:rsidRPr="00EE61D7">
        <w:rPr>
          <w:rFonts w:ascii="Garamond" w:hAnsi="Garamond"/>
          <w:lang w:val="en-GB"/>
        </w:rPr>
        <w:t xml:space="preserve">, </w:t>
      </w:r>
      <w:proofErr w:type="spellStart"/>
      <w:r w:rsidRPr="00EE61D7">
        <w:rPr>
          <w:rFonts w:ascii="Garamond" w:hAnsi="Garamond"/>
          <w:lang w:val="en-GB"/>
        </w:rPr>
        <w:t>paras</w:t>
      </w:r>
      <w:proofErr w:type="spellEnd"/>
      <w:r w:rsidRPr="00EE61D7">
        <w:rPr>
          <w:rFonts w:ascii="Garamond" w:hAnsi="Garamond"/>
          <w:lang w:val="en-GB"/>
        </w:rPr>
        <w:t xml:space="preserve"> 11.4.1 and 133</w:t>
      </w:r>
    </w:p>
  </w:footnote>
  <w:footnote w:id="8">
    <w:p w:rsidR="005C7A99" w:rsidRPr="00EE61D7" w:rsidRDefault="005C7A99" w:rsidP="00EE61D7">
      <w:pPr>
        <w:pStyle w:val="Lbjegyzetszveg"/>
        <w:rPr>
          <w:rFonts w:ascii="Garamond" w:hAnsi="Garamond" w:cs="Tahoma"/>
          <w:bCs/>
          <w:lang w:val="en-GB"/>
        </w:rPr>
      </w:pPr>
      <w:r w:rsidRPr="00EE61D7">
        <w:rPr>
          <w:rStyle w:val="Lbjegyzet-hivatkozs"/>
          <w:rFonts w:ascii="Garamond" w:hAnsi="Garamond" w:cs="Tahoma"/>
          <w:lang w:val="en-GB"/>
        </w:rPr>
        <w:footnoteRef/>
      </w:r>
      <w:r w:rsidRPr="00EE61D7">
        <w:rPr>
          <w:rFonts w:ascii="Garamond" w:hAnsi="Garamond" w:cs="Tahoma"/>
          <w:lang w:val="en-GB"/>
        </w:rPr>
        <w:t xml:space="preserve"> For further information in English see: </w:t>
      </w:r>
      <w:r w:rsidRPr="00EE61D7">
        <w:rPr>
          <w:rFonts w:ascii="Garamond" w:hAnsi="Garamond" w:cs="Tahoma"/>
          <w:bCs/>
          <w:i/>
          <w:lang w:val="en-GB"/>
        </w:rPr>
        <w:t xml:space="preserve">Briefing paper of the Hungarian Helsinki Committee for the Working Group on Arbitrary Detention </w:t>
      </w:r>
      <w:r w:rsidRPr="00EE61D7">
        <w:rPr>
          <w:rFonts w:ascii="Garamond" w:hAnsi="Garamond" w:cs="Tahoma"/>
          <w:i/>
          <w:lang w:val="en-GB"/>
        </w:rPr>
        <w:t xml:space="preserve">– </w:t>
      </w:r>
      <w:r w:rsidRPr="00EE61D7">
        <w:rPr>
          <w:rFonts w:ascii="Garamond" w:hAnsi="Garamond" w:cs="Tahoma"/>
          <w:bCs/>
          <w:i/>
          <w:lang w:val="en-GB"/>
        </w:rPr>
        <w:t>UN Commission of Human Rights</w:t>
      </w:r>
      <w:r w:rsidRPr="00EE61D7">
        <w:rPr>
          <w:rFonts w:ascii="Garamond" w:hAnsi="Garamond" w:cs="Tahoma"/>
          <w:bCs/>
          <w:lang w:val="en-GB"/>
        </w:rPr>
        <w:t xml:space="preserve">, 8 October 2013, </w:t>
      </w:r>
      <w:hyperlink r:id="rId10" w:history="1">
        <w:r w:rsidRPr="00EE61D7">
          <w:rPr>
            <w:rStyle w:val="Hiperhivatkozs"/>
            <w:rFonts w:ascii="Garamond" w:hAnsi="Garamond" w:cs="Tahoma"/>
            <w:bCs/>
            <w:lang w:val="en-GB"/>
          </w:rPr>
          <w:t>http://helsinki.hu/wp-content/uploads/HHC_briefing-paper_UNWGAD_8_Oct_2013.pdf</w:t>
        </w:r>
      </w:hyperlink>
      <w:r w:rsidRPr="00EE61D7">
        <w:rPr>
          <w:rFonts w:ascii="Garamond" w:hAnsi="Garamond" w:cs="Tahoma"/>
          <w:bCs/>
          <w:lang w:val="en-GB"/>
        </w:rPr>
        <w:t>.</w:t>
      </w:r>
    </w:p>
  </w:footnote>
  <w:footnote w:id="9">
    <w:p w:rsidR="005C7A99" w:rsidRPr="00EE61D7" w:rsidRDefault="005C7A99" w:rsidP="00EE61D7">
      <w:pPr>
        <w:pStyle w:val="Lbjegyzetszveg"/>
        <w:rPr>
          <w:rFonts w:ascii="Garamond" w:hAnsi="Garamond" w:cs="Tahoma"/>
          <w:bCs/>
          <w:lang w:val="en-GB"/>
        </w:rPr>
      </w:pPr>
      <w:r w:rsidRPr="00EE61D7">
        <w:rPr>
          <w:rStyle w:val="Lbjegyzet-hivatkozs"/>
          <w:rFonts w:ascii="Garamond" w:hAnsi="Garamond" w:cs="Tahoma"/>
          <w:lang w:val="en-GB"/>
        </w:rPr>
        <w:footnoteRef/>
      </w:r>
      <w:r w:rsidRPr="00EE61D7">
        <w:rPr>
          <w:rFonts w:ascii="Garamond" w:hAnsi="Garamond" w:cs="Tahoma"/>
          <w:lang w:val="en-GB"/>
        </w:rPr>
        <w:t xml:space="preserve"> </w:t>
      </w:r>
      <w:r w:rsidRPr="00EE61D7">
        <w:rPr>
          <w:rFonts w:ascii="Garamond" w:hAnsi="Garamond" w:cs="Tahoma"/>
          <w:bCs/>
          <w:lang w:val="en-GB"/>
        </w:rPr>
        <w:t xml:space="preserve">Report to the Hungarian Government on the visit to Hungary carried out by the European Committee for the Prevention of Torture and Inhuman or Degrading Treatment or Punishment (CPT) from 30 January to 1 February 2007, </w:t>
      </w:r>
    </w:p>
    <w:p w:rsidR="005C7A99" w:rsidRPr="00EE61D7" w:rsidRDefault="005C7A99" w:rsidP="00EE61D7">
      <w:pPr>
        <w:pStyle w:val="Lbjegyzetszveg"/>
        <w:rPr>
          <w:rFonts w:ascii="Garamond" w:hAnsi="Garamond" w:cs="Tahoma"/>
          <w:lang w:val="en-GB"/>
        </w:rPr>
      </w:pPr>
      <w:proofErr w:type="gramStart"/>
      <w:r w:rsidRPr="00EE61D7">
        <w:rPr>
          <w:rFonts w:ascii="Garamond" w:hAnsi="Garamond" w:cs="Tahoma"/>
          <w:bCs/>
          <w:lang w:val="en-GB"/>
        </w:rPr>
        <w:t>CPT/</w:t>
      </w:r>
      <w:proofErr w:type="spellStart"/>
      <w:r w:rsidRPr="00EE61D7">
        <w:rPr>
          <w:rFonts w:ascii="Garamond" w:hAnsi="Garamond" w:cs="Tahoma"/>
          <w:bCs/>
          <w:lang w:val="en-GB"/>
        </w:rPr>
        <w:t>Inf</w:t>
      </w:r>
      <w:proofErr w:type="spellEnd"/>
      <w:r w:rsidRPr="00EE61D7">
        <w:rPr>
          <w:rFonts w:ascii="Garamond" w:hAnsi="Garamond" w:cs="Tahoma"/>
          <w:bCs/>
          <w:lang w:val="en-GB"/>
        </w:rPr>
        <w:t xml:space="preserve"> (2007) 24, § 33.</w:t>
      </w:r>
      <w:proofErr w:type="gramEnd"/>
    </w:p>
  </w:footnote>
  <w:footnote w:id="10">
    <w:p w:rsidR="005C7A99" w:rsidRPr="00EE61D7" w:rsidRDefault="005C7A99" w:rsidP="00EE61D7">
      <w:pPr>
        <w:pStyle w:val="Lbjegyzetszveg"/>
        <w:rPr>
          <w:rFonts w:ascii="Garamond" w:hAnsi="Garamond" w:cs="Tahoma"/>
          <w:lang w:val="en-GB"/>
        </w:rPr>
      </w:pPr>
      <w:r w:rsidRPr="00EE61D7">
        <w:rPr>
          <w:rStyle w:val="Lbjegyzet-hivatkozs"/>
          <w:rFonts w:ascii="Garamond" w:hAnsi="Garamond" w:cs="Tahoma"/>
          <w:lang w:val="en-GB"/>
        </w:rPr>
        <w:footnoteRef/>
      </w:r>
      <w:r w:rsidRPr="00EE61D7">
        <w:rPr>
          <w:rFonts w:ascii="Garamond" w:hAnsi="Garamond" w:cs="Tahoma"/>
          <w:lang w:val="en-GB"/>
        </w:rPr>
        <w:t xml:space="preserve"> For further information in English, see: </w:t>
      </w:r>
      <w:r w:rsidRPr="00EE61D7">
        <w:rPr>
          <w:rFonts w:ascii="Garamond" w:hAnsi="Garamond" w:cs="Tahoma"/>
          <w:i/>
          <w:lang w:val="en-GB"/>
        </w:rPr>
        <w:t>Update to the briefing paper of the Hungarian Helsinki Committee for the Working Group on Arbitrary Detention – UN Commission of Human Rights</w:t>
      </w:r>
      <w:r w:rsidRPr="00EE61D7">
        <w:rPr>
          <w:rFonts w:ascii="Garamond" w:hAnsi="Garamond" w:cs="Tahoma"/>
          <w:lang w:val="en-GB"/>
        </w:rPr>
        <w:t xml:space="preserve">, 25 November 2013, </w:t>
      </w:r>
      <w:hyperlink r:id="rId11" w:history="1">
        <w:r w:rsidRPr="00EE61D7">
          <w:rPr>
            <w:rStyle w:val="Hiperhivatkozs"/>
            <w:rFonts w:ascii="Garamond" w:hAnsi="Garamond" w:cs="Tahoma"/>
            <w:lang w:val="en-GB"/>
          </w:rPr>
          <w:t>http://helsinki.hu/wp-content/uploads/UNWGAD_HUN_HHC_Addendum_25November2013.pdf</w:t>
        </w:r>
      </w:hyperlink>
      <w:r w:rsidRPr="00EE61D7">
        <w:rPr>
          <w:rFonts w:ascii="Garamond" w:hAnsi="Garamond" w:cs="Tahoma"/>
          <w:lang w:val="en-GB"/>
        </w:rPr>
        <w:t xml:space="preserve">. </w:t>
      </w:r>
    </w:p>
  </w:footnote>
  <w:footnote w:id="11">
    <w:p w:rsidR="005C7A99" w:rsidRPr="00EE61D7" w:rsidRDefault="005C7A99" w:rsidP="00EE61D7">
      <w:pPr>
        <w:pStyle w:val="Lbjegyzetszveg"/>
        <w:rPr>
          <w:rFonts w:ascii="Garamond" w:hAnsi="Garamond"/>
          <w:lang w:val="en-GB"/>
        </w:rPr>
      </w:pPr>
      <w:r w:rsidRPr="00EE61D7">
        <w:rPr>
          <w:rStyle w:val="Lbjegyzet-hivatkozs"/>
          <w:rFonts w:ascii="Garamond" w:hAnsi="Garamond"/>
          <w:lang w:val="en-GB"/>
        </w:rPr>
        <w:footnoteRef/>
      </w:r>
      <w:r w:rsidRPr="00EE61D7">
        <w:rPr>
          <w:rFonts w:ascii="Garamond" w:hAnsi="Garamond"/>
          <w:lang w:val="en-GB"/>
        </w:rPr>
        <w:t xml:space="preserve"> See: </w:t>
      </w:r>
      <w:r w:rsidRPr="009451CC">
        <w:rPr>
          <w:rFonts w:ascii="Garamond" w:hAnsi="Garamond"/>
          <w:i/>
          <w:lang w:val="en-GB"/>
        </w:rPr>
        <w:t>Hungary’s homeless need roofs, not handcuffs – UN experts on poverty and housing</w:t>
      </w:r>
      <w:r w:rsidRPr="00EE61D7">
        <w:rPr>
          <w:rFonts w:ascii="Garamond" w:hAnsi="Garamond"/>
          <w:lang w:val="en-GB"/>
        </w:rPr>
        <w:t>, 15 February 2012,</w:t>
      </w:r>
    </w:p>
    <w:p w:rsidR="005C7A99" w:rsidRPr="00EE61D7" w:rsidRDefault="00D32F86" w:rsidP="00EE61D7">
      <w:pPr>
        <w:pStyle w:val="Lbjegyzetszveg"/>
        <w:rPr>
          <w:rFonts w:ascii="Garamond" w:hAnsi="Garamond"/>
          <w:lang w:val="en-GB"/>
        </w:rPr>
      </w:pPr>
      <w:hyperlink r:id="rId12" w:history="1">
        <w:r w:rsidR="005C7A99" w:rsidRPr="00EE61D7">
          <w:rPr>
            <w:rStyle w:val="Hiperhivatkozs"/>
            <w:rFonts w:ascii="Garamond" w:hAnsi="Garamond"/>
            <w:lang w:val="en-GB"/>
          </w:rPr>
          <w:t>http://www.europe.ohchr.org/en/NewsEvents/Pages/DisplayNews.aspx?NewsID=9994&amp;LangID=E</w:t>
        </w:r>
      </w:hyperlink>
      <w:r w:rsidR="005C7A99" w:rsidRPr="00EE61D7">
        <w:rPr>
          <w:rFonts w:ascii="Garamond" w:hAnsi="Garamond"/>
          <w:lang w:val="en-GB"/>
        </w:rPr>
        <w:t>.</w:t>
      </w:r>
    </w:p>
  </w:footnote>
  <w:footnote w:id="12">
    <w:p w:rsidR="005C7A99" w:rsidRPr="00EE61D7" w:rsidRDefault="005C7A99" w:rsidP="00EE61D7">
      <w:pPr>
        <w:autoSpaceDE w:val="0"/>
        <w:autoSpaceDN w:val="0"/>
        <w:adjustRightInd w:val="0"/>
        <w:spacing w:after="0" w:line="240" w:lineRule="auto"/>
        <w:rPr>
          <w:rFonts w:ascii="Garamond" w:hAnsi="Garamond" w:cs="Tahoma"/>
          <w:spacing w:val="-2"/>
          <w:sz w:val="20"/>
          <w:szCs w:val="20"/>
          <w:lang w:val="en-GB"/>
        </w:rPr>
      </w:pPr>
      <w:r w:rsidRPr="00EE61D7">
        <w:rPr>
          <w:rStyle w:val="Lbjegyzet-hivatkozs"/>
          <w:rFonts w:ascii="Garamond" w:hAnsi="Garamond" w:cs="Tahoma"/>
          <w:sz w:val="20"/>
          <w:szCs w:val="20"/>
          <w:lang w:val="en-GB"/>
        </w:rPr>
        <w:footnoteRef/>
      </w:r>
      <w:r w:rsidRPr="00EE61D7">
        <w:rPr>
          <w:rFonts w:ascii="Garamond" w:hAnsi="Garamond" w:cs="Tahoma"/>
          <w:spacing w:val="-2"/>
          <w:sz w:val="20"/>
          <w:szCs w:val="20"/>
          <w:lang w:val="en-GB"/>
        </w:rPr>
        <w:t xml:space="preserve"> For further information in English, see: </w:t>
      </w:r>
      <w:hyperlink r:id="rId13" w:tgtFrame="_blank" w:history="1">
        <w:r w:rsidRPr="00EE61D7">
          <w:rPr>
            <w:rStyle w:val="Hiperhivatkozs"/>
            <w:rFonts w:ascii="Garamond" w:hAnsi="Garamond" w:cs="Tahoma"/>
            <w:spacing w:val="-2"/>
            <w:sz w:val="20"/>
            <w:szCs w:val="20"/>
            <w:lang w:val="en-GB"/>
          </w:rPr>
          <w:t>http://helsinki.hu/en/criminalization-of-homelessness-in-hungary</w:t>
        </w:r>
      </w:hyperlink>
      <w:r w:rsidRPr="00EE61D7">
        <w:rPr>
          <w:rFonts w:ascii="Garamond" w:hAnsi="Garamond" w:cs="Tahoma"/>
          <w:spacing w:val="-2"/>
          <w:sz w:val="20"/>
          <w:szCs w:val="20"/>
          <w:lang w:val="en-GB"/>
        </w:rPr>
        <w:t>.</w:t>
      </w:r>
    </w:p>
  </w:footnote>
  <w:footnote w:id="13">
    <w:p w:rsidR="005C7A99" w:rsidRPr="00EE61D7" w:rsidRDefault="005C7A99" w:rsidP="00EE61D7">
      <w:pPr>
        <w:pStyle w:val="Lbjegyzetszveg"/>
        <w:rPr>
          <w:rFonts w:ascii="Garamond" w:hAnsi="Garamond"/>
          <w:lang w:val="en-GB"/>
        </w:rPr>
      </w:pPr>
      <w:r w:rsidRPr="00EE61D7">
        <w:rPr>
          <w:rStyle w:val="Lbjegyzet-hivatkozs"/>
          <w:rFonts w:ascii="Garamond" w:hAnsi="Garamond"/>
          <w:lang w:val="en-GB"/>
        </w:rPr>
        <w:footnoteRef/>
      </w:r>
      <w:r w:rsidRPr="00EE61D7">
        <w:rPr>
          <w:rFonts w:ascii="Garamond" w:hAnsi="Garamond"/>
          <w:lang w:val="en-GB"/>
        </w:rPr>
        <w:t xml:space="preserve"> For the final report of the </w:t>
      </w:r>
      <w:r w:rsidRPr="00EE61D7">
        <w:rPr>
          <w:rFonts w:ascii="Garamond" w:hAnsi="Garamond"/>
          <w:bCs/>
          <w:lang w:val="en-GB"/>
        </w:rPr>
        <w:t>OSCE/ODIHR Limited Election Observation Mission on the parliamentary elections</w:t>
      </w:r>
      <w:r w:rsidR="00EB4204">
        <w:rPr>
          <w:rFonts w:ascii="Garamond" w:hAnsi="Garamond"/>
          <w:bCs/>
          <w:lang w:val="en-GB"/>
        </w:rPr>
        <w:t xml:space="preserve"> in 2014</w:t>
      </w:r>
      <w:r w:rsidRPr="00EE61D7">
        <w:rPr>
          <w:rFonts w:ascii="Garamond" w:hAnsi="Garamond"/>
          <w:bCs/>
          <w:lang w:val="en-GB"/>
        </w:rPr>
        <w:t xml:space="preserve">, see: </w:t>
      </w:r>
      <w:hyperlink r:id="rId14" w:history="1">
        <w:r w:rsidRPr="00EE61D7">
          <w:rPr>
            <w:rStyle w:val="Hiperhivatkozs"/>
            <w:rFonts w:ascii="Garamond" w:hAnsi="Garamond"/>
            <w:bCs/>
            <w:lang w:val="en-GB"/>
          </w:rPr>
          <w:t>http://www.osce.org/odihr/elections/hungary/121098?download=true</w:t>
        </w:r>
      </w:hyperlink>
      <w:r w:rsidRPr="00EE61D7">
        <w:rPr>
          <w:rFonts w:ascii="Garamond" w:hAnsi="Garamond"/>
          <w:bCs/>
          <w:lang w:val="en-GB"/>
        </w:rPr>
        <w:t xml:space="preserve">. </w:t>
      </w:r>
    </w:p>
  </w:footnote>
  <w:footnote w:id="14">
    <w:p w:rsidR="005C7A99" w:rsidRPr="00EE61D7" w:rsidRDefault="005C7A99" w:rsidP="00EE61D7">
      <w:pPr>
        <w:pStyle w:val="Lbjegyzetszveg"/>
        <w:rPr>
          <w:rFonts w:ascii="Garamond" w:hAnsi="Garamond"/>
          <w:lang w:val="en-GB"/>
        </w:rPr>
      </w:pPr>
      <w:r w:rsidRPr="00EE61D7">
        <w:rPr>
          <w:rStyle w:val="Lbjegyzet-hivatkozs"/>
          <w:rFonts w:ascii="Garamond" w:hAnsi="Garamond"/>
          <w:lang w:val="en-GB"/>
        </w:rPr>
        <w:footnoteRef/>
      </w:r>
      <w:r w:rsidRPr="00EE61D7">
        <w:rPr>
          <w:rFonts w:ascii="Garamond" w:hAnsi="Garamond"/>
          <w:lang w:val="en-GB"/>
        </w:rPr>
        <w:t xml:space="preserve"> For further information in English, see: </w:t>
      </w:r>
      <w:hyperlink r:id="rId15" w:history="1">
        <w:r w:rsidRPr="00EE61D7">
          <w:rPr>
            <w:rStyle w:val="Hiperhivatkozs"/>
            <w:rFonts w:ascii="Garamond" w:hAnsi="Garamond"/>
            <w:lang w:val="en-GB"/>
          </w:rPr>
          <w:t>http://helsinki.hu/wp-content/uploads/HHC-HCLU-EKINT_Collapse_of_Independent_Institutions_23032014.pdf</w:t>
        </w:r>
      </w:hyperlink>
      <w:r w:rsidRPr="00EE61D7">
        <w:rPr>
          <w:rFonts w:ascii="Garamond" w:hAnsi="Garamond"/>
          <w:lang w:val="en-GB"/>
        </w:rPr>
        <w:t xml:space="preserve">. </w:t>
      </w:r>
    </w:p>
  </w:footnote>
  <w:footnote w:id="15">
    <w:p w:rsidR="005C7A99" w:rsidRPr="00EE61D7" w:rsidRDefault="005C7A99" w:rsidP="00EE61D7">
      <w:pPr>
        <w:pStyle w:val="Lbjegyzetszveg"/>
        <w:rPr>
          <w:rFonts w:ascii="Garamond" w:hAnsi="Garamond"/>
          <w:lang w:val="en-GB"/>
        </w:rPr>
      </w:pPr>
      <w:r w:rsidRPr="00EE61D7">
        <w:rPr>
          <w:rStyle w:val="Lbjegyzet-hivatkozs"/>
          <w:rFonts w:ascii="Garamond" w:hAnsi="Garamond"/>
          <w:lang w:val="en-GB"/>
        </w:rPr>
        <w:footnoteRef/>
      </w:r>
      <w:r w:rsidRPr="00EE61D7">
        <w:rPr>
          <w:rFonts w:ascii="Garamond" w:hAnsi="Garamond"/>
          <w:lang w:val="en-GB"/>
        </w:rPr>
        <w:t xml:space="preserve"> Source: Political Capital Institute. F</w:t>
      </w:r>
      <w:r w:rsidR="00EB4204">
        <w:rPr>
          <w:rFonts w:ascii="Garamond" w:hAnsi="Garamond"/>
          <w:lang w:val="en-GB"/>
        </w:rPr>
        <w:t>or f</w:t>
      </w:r>
      <w:r w:rsidRPr="00EE61D7">
        <w:rPr>
          <w:rFonts w:ascii="Garamond" w:hAnsi="Garamond"/>
          <w:lang w:val="en-GB"/>
        </w:rPr>
        <w:t>urther details in English, see:</w:t>
      </w:r>
    </w:p>
    <w:p w:rsidR="005C7A99" w:rsidRPr="00EE61D7" w:rsidRDefault="00D32F86" w:rsidP="00EE61D7">
      <w:pPr>
        <w:pStyle w:val="Lbjegyzetszveg"/>
        <w:rPr>
          <w:rFonts w:ascii="Garamond" w:hAnsi="Garamond"/>
          <w:lang w:val="en-GB"/>
        </w:rPr>
      </w:pPr>
      <w:hyperlink r:id="rId16" w:tgtFrame="_blank" w:history="1">
        <w:r w:rsidR="005C7A99" w:rsidRPr="00EE61D7">
          <w:rPr>
            <w:rStyle w:val="Hiperhivatkozs"/>
            <w:rFonts w:ascii="Garamond" w:hAnsi="Garamond"/>
            <w:lang w:val="en-GB"/>
          </w:rPr>
          <w:t>http://www.valasztasirendszer.hu/wp-content/uploads/PC-FES_ConferencePaper_HalfwayIntoTheHungarianElectoralReform_120417.pdf</w:t>
        </w:r>
      </w:hyperlink>
    </w:p>
  </w:footnote>
  <w:footnote w:id="16">
    <w:p w:rsidR="005C7A99" w:rsidRPr="00EE61D7" w:rsidRDefault="005C7A99" w:rsidP="00EE61D7">
      <w:pPr>
        <w:pStyle w:val="Lbjegyzetszveg"/>
        <w:rPr>
          <w:rFonts w:ascii="Garamond" w:hAnsi="Garamond"/>
          <w:lang w:val="en-GB"/>
        </w:rPr>
      </w:pPr>
      <w:r w:rsidRPr="00EE61D7">
        <w:rPr>
          <w:rStyle w:val="Lbjegyzet-hivatkozs"/>
          <w:rFonts w:ascii="Garamond" w:hAnsi="Garamond"/>
          <w:lang w:val="en-GB"/>
        </w:rPr>
        <w:footnoteRef/>
      </w:r>
      <w:r w:rsidRPr="00EE61D7">
        <w:rPr>
          <w:rFonts w:ascii="Garamond" w:hAnsi="Garamond"/>
          <w:lang w:val="en-GB"/>
        </w:rPr>
        <w:t xml:space="preserve"> Source: Political Capital Institute. For further details in English, see:</w:t>
      </w:r>
    </w:p>
    <w:p w:rsidR="005C7A99" w:rsidRPr="00EE61D7" w:rsidRDefault="00D32F86" w:rsidP="00EE61D7">
      <w:pPr>
        <w:pStyle w:val="Lbjegyzetszveg"/>
        <w:rPr>
          <w:rFonts w:ascii="Garamond" w:hAnsi="Garamond"/>
          <w:lang w:val="en-GB"/>
        </w:rPr>
      </w:pPr>
      <w:hyperlink r:id="rId17" w:tgtFrame="_blank" w:history="1">
        <w:r w:rsidR="005C7A99" w:rsidRPr="00EE61D7">
          <w:rPr>
            <w:rStyle w:val="Hiperhivatkozs"/>
            <w:rFonts w:ascii="Garamond" w:hAnsi="Garamond"/>
            <w:lang w:val="en-GB"/>
          </w:rPr>
          <w:t>http://www.valasztasirendszer.hu/wp-content/uploads/pc_flash_report_20140218_TheWinnerTakesItAll.pdf</w:t>
        </w:r>
      </w:hyperlink>
      <w:r w:rsidR="005C7A99" w:rsidRPr="00EE61D7">
        <w:rPr>
          <w:rFonts w:ascii="Garamond" w:hAnsi="Garamond"/>
          <w:lang w:val="en-GB"/>
        </w:rPr>
        <w:t>.</w:t>
      </w:r>
    </w:p>
  </w:footnote>
  <w:footnote w:id="17">
    <w:p w:rsidR="005C7A99" w:rsidRPr="00EE61D7" w:rsidRDefault="005C7A99" w:rsidP="00EE61D7">
      <w:pPr>
        <w:pStyle w:val="Lbjegyzetszveg"/>
        <w:rPr>
          <w:rFonts w:ascii="Garamond" w:hAnsi="Garamond"/>
          <w:lang w:val="en-GB"/>
        </w:rPr>
      </w:pPr>
      <w:r w:rsidRPr="00EE61D7">
        <w:rPr>
          <w:rStyle w:val="Lbjegyzet-hivatkozs"/>
          <w:rFonts w:ascii="Garamond" w:hAnsi="Garamond"/>
          <w:lang w:val="en-GB"/>
        </w:rPr>
        <w:footnoteRef/>
      </w:r>
      <w:r w:rsidRPr="00EE61D7">
        <w:rPr>
          <w:rFonts w:ascii="Garamond" w:hAnsi="Garamond"/>
          <w:lang w:val="en-GB"/>
        </w:rPr>
        <w:t xml:space="preserve"> For further information in English, see: </w:t>
      </w:r>
      <w:hyperlink r:id="rId18" w:history="1">
        <w:r w:rsidRPr="00EE61D7">
          <w:rPr>
            <w:rStyle w:val="Hiperhivatkozs"/>
            <w:rFonts w:ascii="Garamond" w:hAnsi="Garamond"/>
            <w:lang w:val="en-GB"/>
          </w:rPr>
          <w:t>http://helsinki.hu/wp-content/uploads/NGO_comments_on_the_5th_Amendment_to_the_Fundamental_Law_October2013.pdf</w:t>
        </w:r>
      </w:hyperlink>
      <w:r w:rsidRPr="00EE61D7">
        <w:rPr>
          <w:rFonts w:ascii="Garamond" w:hAnsi="Garamond"/>
          <w:lang w:val="en-GB"/>
        </w:rPr>
        <w:t xml:space="preserve">, pp 2-3. </w:t>
      </w:r>
    </w:p>
  </w:footnote>
  <w:footnote w:id="18">
    <w:p w:rsidR="005C7A99" w:rsidRPr="00EE61D7" w:rsidRDefault="005C7A99" w:rsidP="00EE61D7">
      <w:pPr>
        <w:pStyle w:val="Lbjegyzetszveg"/>
        <w:rPr>
          <w:rFonts w:ascii="Garamond" w:hAnsi="Garamond"/>
          <w:lang w:val="en-GB"/>
        </w:rPr>
      </w:pPr>
      <w:r w:rsidRPr="00EE61D7">
        <w:rPr>
          <w:rStyle w:val="Lbjegyzet-hivatkozs"/>
          <w:rFonts w:ascii="Garamond" w:hAnsi="Garamond"/>
          <w:lang w:val="en-GB"/>
        </w:rPr>
        <w:footnoteRef/>
      </w:r>
      <w:r w:rsidRPr="00EE61D7">
        <w:rPr>
          <w:rFonts w:ascii="Garamond" w:hAnsi="Garamond"/>
          <w:lang w:val="en-GB"/>
        </w:rPr>
        <w:t xml:space="preserve"> For further information in English, see: </w:t>
      </w:r>
      <w:hyperlink r:id="rId19" w:history="1">
        <w:r w:rsidRPr="00EE61D7">
          <w:rPr>
            <w:rStyle w:val="Hiperhivatkozs"/>
            <w:rFonts w:ascii="Garamond" w:hAnsi="Garamond"/>
            <w:lang w:val="en-GB"/>
          </w:rPr>
          <w:t>http://helsinki.hu/wp-content/uploads/illegitimate_changes_municipal_representation_HCLU_HHC_EKINT_20140611_eng.pdf</w:t>
        </w:r>
      </w:hyperlink>
      <w:r w:rsidRPr="00EE61D7">
        <w:rPr>
          <w:rFonts w:ascii="Garamond" w:hAnsi="Garamond"/>
          <w:lang w:val="en-GB"/>
        </w:rPr>
        <w:t xml:space="preserve">. </w:t>
      </w:r>
    </w:p>
  </w:footnote>
  <w:footnote w:id="19">
    <w:p w:rsidR="00EE55E0" w:rsidRPr="00EE61D7" w:rsidRDefault="00EE55E0" w:rsidP="00EE61D7">
      <w:pPr>
        <w:pStyle w:val="Lbjegyzetszveg"/>
        <w:rPr>
          <w:rFonts w:ascii="Garamond" w:hAnsi="Garamond"/>
          <w:lang w:val="en-GB"/>
        </w:rPr>
      </w:pPr>
      <w:r w:rsidRPr="00EE61D7">
        <w:rPr>
          <w:rStyle w:val="Lbjegyzet-hivatkozs"/>
          <w:rFonts w:ascii="Garamond" w:hAnsi="Garamond"/>
          <w:lang w:val="en-GB"/>
        </w:rPr>
        <w:footnoteRef/>
      </w:r>
      <w:r w:rsidRPr="00EE61D7">
        <w:rPr>
          <w:rFonts w:ascii="Garamond" w:hAnsi="Garamond"/>
          <w:lang w:val="en-GB"/>
        </w:rPr>
        <w:t xml:space="preserve"> A concise overview of the story by an independent news portal called 444.hu is available in English here: </w:t>
      </w:r>
      <w:hyperlink r:id="rId20" w:history="1">
        <w:r w:rsidRPr="00EE61D7">
          <w:rPr>
            <w:rStyle w:val="Hiperhivatkozs"/>
            <w:rFonts w:ascii="Garamond" w:hAnsi="Garamond"/>
            <w:lang w:val="en-GB"/>
          </w:rPr>
          <w:t>http://444.hu/2014/06/05/deutsche-telekom-hungarian-government-collude-to-silence-independent-media/</w:t>
        </w:r>
      </w:hyperlink>
    </w:p>
  </w:footnote>
  <w:footnote w:id="20">
    <w:p w:rsidR="005C7A99" w:rsidRPr="00EE61D7" w:rsidRDefault="005C7A99" w:rsidP="00EE61D7">
      <w:pPr>
        <w:pStyle w:val="Lbjegyzetszveg"/>
        <w:rPr>
          <w:rFonts w:ascii="Garamond" w:hAnsi="Garamond"/>
          <w:lang w:val="en-GB"/>
        </w:rPr>
      </w:pPr>
      <w:r w:rsidRPr="00EE61D7">
        <w:rPr>
          <w:rStyle w:val="Lbjegyzet-hivatkozs"/>
          <w:rFonts w:ascii="Garamond" w:hAnsi="Garamond"/>
          <w:lang w:val="en-GB"/>
        </w:rPr>
        <w:footnoteRef/>
      </w:r>
      <w:r w:rsidRPr="00EE61D7">
        <w:rPr>
          <w:rFonts w:ascii="Garamond" w:hAnsi="Garamond"/>
          <w:lang w:val="en-GB"/>
        </w:rPr>
        <w:t xml:space="preserve"> For </w:t>
      </w:r>
      <w:r w:rsidR="004D399F">
        <w:rPr>
          <w:rFonts w:ascii="Garamond" w:hAnsi="Garamond"/>
          <w:lang w:val="en-GB"/>
        </w:rPr>
        <w:t xml:space="preserve">further </w:t>
      </w:r>
      <w:r w:rsidRPr="00EE61D7">
        <w:rPr>
          <w:rFonts w:ascii="Garamond" w:hAnsi="Garamond"/>
          <w:lang w:val="en-GB"/>
        </w:rPr>
        <w:t xml:space="preserve">information in English, see: </w:t>
      </w:r>
      <w:hyperlink r:id="rId21" w:history="1">
        <w:r w:rsidRPr="00EE61D7">
          <w:rPr>
            <w:rStyle w:val="Hiperhivatkozs"/>
            <w:rFonts w:ascii="Garamond" w:hAnsi="Garamond"/>
            <w:lang w:val="en-GB"/>
          </w:rPr>
          <w:t>http://www.politics.hu/20140512/court-orders-release-of-tobacco-retail-tender-documents/</w:t>
        </w:r>
      </w:hyperlink>
      <w:r w:rsidRPr="00EE61D7">
        <w:rPr>
          <w:rFonts w:ascii="Garamond" w:hAnsi="Garamond"/>
          <w:lang w:val="en-GB"/>
        </w:rPr>
        <w:t>.</w:t>
      </w:r>
    </w:p>
  </w:footnote>
  <w:footnote w:id="21">
    <w:p w:rsidR="005C7A99" w:rsidRPr="00EE61D7" w:rsidRDefault="005C7A99" w:rsidP="00EE61D7">
      <w:pPr>
        <w:pStyle w:val="Lbjegyzetszveg"/>
        <w:rPr>
          <w:rFonts w:ascii="Garamond" w:hAnsi="Garamond"/>
          <w:lang w:val="en-GB"/>
        </w:rPr>
      </w:pPr>
      <w:r w:rsidRPr="00EE61D7">
        <w:rPr>
          <w:rStyle w:val="Lbjegyzet-hivatkozs"/>
          <w:rFonts w:ascii="Garamond" w:hAnsi="Garamond"/>
          <w:lang w:val="en-GB"/>
        </w:rPr>
        <w:footnoteRef/>
      </w:r>
      <w:r w:rsidRPr="00EE61D7">
        <w:rPr>
          <w:rFonts w:ascii="Garamond" w:hAnsi="Garamond"/>
          <w:lang w:val="en-GB"/>
        </w:rPr>
        <w:t xml:space="preserve"> For </w:t>
      </w:r>
      <w:r w:rsidR="004D399F">
        <w:rPr>
          <w:rFonts w:ascii="Garamond" w:hAnsi="Garamond"/>
          <w:lang w:val="en-GB"/>
        </w:rPr>
        <w:t xml:space="preserve">further </w:t>
      </w:r>
      <w:r w:rsidRPr="00EE61D7">
        <w:rPr>
          <w:rFonts w:ascii="Garamond" w:hAnsi="Garamond"/>
          <w:lang w:val="en-GB"/>
        </w:rPr>
        <w:t xml:space="preserve">information in English, see: </w:t>
      </w:r>
      <w:hyperlink r:id="rId22" w:history="1">
        <w:r w:rsidRPr="00EE61D7">
          <w:rPr>
            <w:rStyle w:val="Hiperhivatkozs"/>
            <w:rFonts w:ascii="Garamond" w:hAnsi="Garamond"/>
            <w:lang w:val="en-GB"/>
          </w:rPr>
          <w:t>http://advocacy.globalvoicesonline.org/2013/05/08/hungary-government-limits-foia-transparency-law/</w:t>
        </w:r>
      </w:hyperlink>
      <w:r w:rsidRPr="00EE61D7">
        <w:rPr>
          <w:rFonts w:ascii="Garamond" w:hAnsi="Garamond"/>
          <w:lang w:val="en-GB"/>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A99" w:rsidRDefault="005C7A99" w:rsidP="00AC6680">
    <w:pPr>
      <w:pStyle w:val="lfej"/>
      <w:tabs>
        <w:tab w:val="clear" w:pos="4536"/>
        <w:tab w:val="center" w:pos="4678"/>
      </w:tabs>
    </w:pPr>
    <w:r>
      <w:rPr>
        <w:noProof/>
        <w:lang w:val="hu-HU" w:eastAsia="hu-HU"/>
      </w:rPr>
      <w:drawing>
        <wp:anchor distT="0" distB="0" distL="114300" distR="114300" simplePos="0" relativeHeight="251656704" behindDoc="1" locked="0" layoutInCell="1" allowOverlap="1">
          <wp:simplePos x="0" y="0"/>
          <wp:positionH relativeFrom="margin">
            <wp:posOffset>3592830</wp:posOffset>
          </wp:positionH>
          <wp:positionV relativeFrom="margin">
            <wp:posOffset>-1167130</wp:posOffset>
          </wp:positionV>
          <wp:extent cx="1857375" cy="733425"/>
          <wp:effectExtent l="19050" t="0" r="9525" b="0"/>
          <wp:wrapTight wrapText="bothSides">
            <wp:wrapPolygon edited="0">
              <wp:start x="-222" y="0"/>
              <wp:lineTo x="-222" y="21319"/>
              <wp:lineTo x="21711" y="21319"/>
              <wp:lineTo x="21711" y="0"/>
              <wp:lineTo x="-222"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733425"/>
                  </a:xfrm>
                  <a:prstGeom prst="rect">
                    <a:avLst/>
                  </a:prstGeom>
                  <a:noFill/>
                  <a:ln>
                    <a:noFill/>
                  </a:ln>
                </pic:spPr>
              </pic:pic>
            </a:graphicData>
          </a:graphic>
        </wp:anchor>
      </w:drawing>
    </w:r>
    <w:r>
      <w:rPr>
        <w:noProof/>
        <w:lang w:val="hu-HU" w:eastAsia="hu-HU"/>
      </w:rPr>
      <w:drawing>
        <wp:anchor distT="0" distB="0" distL="114300" distR="114300" simplePos="0" relativeHeight="251660800" behindDoc="1" locked="0" layoutInCell="1" allowOverlap="1">
          <wp:simplePos x="0" y="0"/>
          <wp:positionH relativeFrom="column">
            <wp:posOffset>5821680</wp:posOffset>
          </wp:positionH>
          <wp:positionV relativeFrom="paragraph">
            <wp:posOffset>-70485</wp:posOffset>
          </wp:positionV>
          <wp:extent cx="880745" cy="1092200"/>
          <wp:effectExtent l="19050" t="0" r="0" b="0"/>
          <wp:wrapTight wrapText="bothSides">
            <wp:wrapPolygon edited="0">
              <wp:start x="-467" y="0"/>
              <wp:lineTo x="-467" y="21098"/>
              <wp:lineTo x="21491" y="21098"/>
              <wp:lineTo x="21491" y="0"/>
              <wp:lineTo x="-467" y="0"/>
            </wp:wrapPolygon>
          </wp:wrapTight>
          <wp:docPr id="2" name="Kép 2" descr="\\Server2\work\Munkatársak\Logo\Helsinki logo 2008\Helsinki Logo ENG Ki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2\work\Munkatársak\Logo\Helsinki logo 2008\Helsinki Logo ENG Kicsi.jpg"/>
                  <pic:cNvPicPr>
                    <a:picLocks noChangeAspect="1" noChangeArrowheads="1"/>
                  </pic:cNvPicPr>
                </pic:nvPicPr>
                <pic:blipFill>
                  <a:blip r:embed="rId2"/>
                  <a:srcRect/>
                  <a:stretch>
                    <a:fillRect/>
                  </a:stretch>
                </pic:blipFill>
                <pic:spPr bwMode="auto">
                  <a:xfrm>
                    <a:off x="0" y="0"/>
                    <a:ext cx="880745" cy="1092200"/>
                  </a:xfrm>
                  <a:prstGeom prst="rect">
                    <a:avLst/>
                  </a:prstGeom>
                  <a:noFill/>
                  <a:ln w="9525">
                    <a:noFill/>
                    <a:miter lim="800000"/>
                    <a:headEnd/>
                    <a:tailEnd/>
                  </a:ln>
                </pic:spPr>
              </pic:pic>
            </a:graphicData>
          </a:graphic>
        </wp:anchor>
      </w:drawing>
    </w:r>
    <w:r>
      <w:rPr>
        <w:noProof/>
        <w:lang w:val="hu-HU" w:eastAsia="hu-HU"/>
      </w:rPr>
      <w:drawing>
        <wp:anchor distT="0" distB="0" distL="114300" distR="114300" simplePos="0" relativeHeight="251658752" behindDoc="1" locked="0" layoutInCell="1" allowOverlap="1">
          <wp:simplePos x="0" y="0"/>
          <wp:positionH relativeFrom="column">
            <wp:posOffset>1460500</wp:posOffset>
          </wp:positionH>
          <wp:positionV relativeFrom="paragraph">
            <wp:posOffset>136525</wp:posOffset>
          </wp:positionV>
          <wp:extent cx="1795780" cy="723265"/>
          <wp:effectExtent l="19050" t="0" r="0" b="0"/>
          <wp:wrapTight wrapText="bothSides">
            <wp:wrapPolygon edited="0">
              <wp:start x="-229" y="0"/>
              <wp:lineTo x="-229" y="21050"/>
              <wp:lineTo x="21539" y="21050"/>
              <wp:lineTo x="21539" y="0"/>
              <wp:lineTo x="-229" y="0"/>
            </wp:wrapPolygon>
          </wp:wrapTight>
          <wp:docPr id="4" name="Kép 1" descr="TI_hungar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TI_hungary_logo"/>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5780" cy="723265"/>
                  </a:xfrm>
                  <a:prstGeom prst="rect">
                    <a:avLst/>
                  </a:prstGeom>
                  <a:noFill/>
                  <a:ln>
                    <a:noFill/>
                  </a:ln>
                </pic:spPr>
              </pic:pic>
            </a:graphicData>
          </a:graphic>
        </wp:anchor>
      </w:drawing>
    </w:r>
    <w:r>
      <w:rPr>
        <w:rFonts w:eastAsia="BatangChe"/>
        <w:noProof/>
        <w:shd w:val="clear" w:color="auto" w:fill="FFFFFF"/>
        <w:lang w:val="hu-HU" w:eastAsia="hu-HU"/>
      </w:rPr>
      <w:drawing>
        <wp:inline distT="0" distB="0" distL="0" distR="0">
          <wp:extent cx="933450" cy="10763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8048" cy="1082296"/>
                  </a:xfrm>
                  <a:prstGeom prst="rect">
                    <a:avLst/>
                  </a:prstGeom>
                  <a:noFill/>
                  <a:ln>
                    <a:noFill/>
                  </a:ln>
                </pic:spPr>
              </pic:pic>
            </a:graphicData>
          </a:graphic>
        </wp:inline>
      </w:drawing>
    </w:r>
    <w:r>
      <w:t xml:space="preserve"> </w:t>
    </w:r>
  </w:p>
  <w:p w:rsidR="005C7A99" w:rsidRDefault="005C7A99" w:rsidP="00AC6680">
    <w:pPr>
      <w:pStyle w:val="lfej"/>
      <w:tabs>
        <w:tab w:val="clear" w:pos="4536"/>
        <w:tab w:val="center" w:pos="467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544A"/>
    <w:multiLevelType w:val="hybridMultilevel"/>
    <w:tmpl w:val="97AAD24E"/>
    <w:lvl w:ilvl="0" w:tplc="82DCA3FA">
      <w:start w:val="1"/>
      <w:numFmt w:val="lowerRoman"/>
      <w:lvlText w:val="(%1)"/>
      <w:lvlJc w:val="left"/>
      <w:pPr>
        <w:ind w:left="720" w:hanging="360"/>
      </w:pPr>
      <w:rPr>
        <w:rFonts w:ascii="Tahoma" w:eastAsia="Times New Roman" w:hAnsi="Tahoma" w:cs="Tahoma"/>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4FE2A18"/>
    <w:multiLevelType w:val="hybridMultilevel"/>
    <w:tmpl w:val="74A2EC7E"/>
    <w:lvl w:ilvl="0" w:tplc="1CB4A20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5442782"/>
    <w:multiLevelType w:val="hybridMultilevel"/>
    <w:tmpl w:val="275C6E18"/>
    <w:lvl w:ilvl="0" w:tplc="6EAA0834">
      <w:start w:val="1"/>
      <w:numFmt w:val="decimal"/>
      <w:lvlText w:val="%1."/>
      <w:lvlJc w:val="left"/>
      <w:pPr>
        <w:ind w:left="720" w:hanging="360"/>
      </w:pPr>
      <w:rPr>
        <w:rFonts w:cs="TTE1BFD5A0t00"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68D0CDF"/>
    <w:multiLevelType w:val="hybridMultilevel"/>
    <w:tmpl w:val="EE0C00F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816522B"/>
    <w:multiLevelType w:val="hybridMultilevel"/>
    <w:tmpl w:val="F470268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9AE0E87"/>
    <w:multiLevelType w:val="hybridMultilevel"/>
    <w:tmpl w:val="6DAA69EC"/>
    <w:lvl w:ilvl="0" w:tplc="44560294">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
    <w:nsid w:val="0A440499"/>
    <w:multiLevelType w:val="hybridMultilevel"/>
    <w:tmpl w:val="0950B2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19C46AB"/>
    <w:multiLevelType w:val="hybridMultilevel"/>
    <w:tmpl w:val="ADCAA6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3CC325F"/>
    <w:multiLevelType w:val="hybridMultilevel"/>
    <w:tmpl w:val="F420005A"/>
    <w:lvl w:ilvl="0" w:tplc="040E0005">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nsid w:val="1615599E"/>
    <w:multiLevelType w:val="hybridMultilevel"/>
    <w:tmpl w:val="83A25C4A"/>
    <w:lvl w:ilvl="0" w:tplc="7004D3F2">
      <w:start w:val="5"/>
      <w:numFmt w:val="decimal"/>
      <w:lvlText w:val="%1."/>
      <w:lvlJc w:val="left"/>
      <w:pPr>
        <w:ind w:left="720" w:hanging="360"/>
      </w:pPr>
      <w:rPr>
        <w:rFonts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0325FAA"/>
    <w:multiLevelType w:val="hybridMultilevel"/>
    <w:tmpl w:val="A9B619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0C14C19"/>
    <w:multiLevelType w:val="hybridMultilevel"/>
    <w:tmpl w:val="55C6E5D4"/>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2">
    <w:nsid w:val="21A8564E"/>
    <w:multiLevelType w:val="hybridMultilevel"/>
    <w:tmpl w:val="D39CB41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3A53A1E"/>
    <w:multiLevelType w:val="hybridMultilevel"/>
    <w:tmpl w:val="00D2ED2C"/>
    <w:lvl w:ilvl="0" w:tplc="229E85BC">
      <w:start w:val="4"/>
      <w:numFmt w:val="decimal"/>
      <w:lvlText w:val="%1."/>
      <w:lvlJc w:val="left"/>
      <w:pPr>
        <w:ind w:left="720" w:hanging="360"/>
      </w:pPr>
      <w:rPr>
        <w:rFonts w:cs="TTE1BFD5A0t00"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3A53A47"/>
    <w:multiLevelType w:val="hybridMultilevel"/>
    <w:tmpl w:val="03F41A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5C812B0"/>
    <w:multiLevelType w:val="hybridMultilevel"/>
    <w:tmpl w:val="F0F6A300"/>
    <w:lvl w:ilvl="0" w:tplc="040E000F">
      <w:start w:val="1"/>
      <w:numFmt w:val="decimal"/>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29F262A5"/>
    <w:multiLevelType w:val="hybridMultilevel"/>
    <w:tmpl w:val="FD5A12E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E0B297D"/>
    <w:multiLevelType w:val="hybridMultilevel"/>
    <w:tmpl w:val="95DEF3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1375518"/>
    <w:multiLevelType w:val="hybridMultilevel"/>
    <w:tmpl w:val="0950B2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273303C"/>
    <w:multiLevelType w:val="hybridMultilevel"/>
    <w:tmpl w:val="0950B2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8E74409"/>
    <w:multiLevelType w:val="hybridMultilevel"/>
    <w:tmpl w:val="F5148586"/>
    <w:lvl w:ilvl="0" w:tplc="DC7862B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93A20A3"/>
    <w:multiLevelType w:val="hybridMultilevel"/>
    <w:tmpl w:val="8BCA4354"/>
    <w:lvl w:ilvl="0" w:tplc="040E0005">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nsid w:val="39757C43"/>
    <w:multiLevelType w:val="hybridMultilevel"/>
    <w:tmpl w:val="DC1A7F42"/>
    <w:lvl w:ilvl="0" w:tplc="407088E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BC412F4"/>
    <w:multiLevelType w:val="hybridMultilevel"/>
    <w:tmpl w:val="79A8A80C"/>
    <w:lvl w:ilvl="0" w:tplc="040E0005">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nsid w:val="3D227DDF"/>
    <w:multiLevelType w:val="hybridMultilevel"/>
    <w:tmpl w:val="3E9A0550"/>
    <w:lvl w:ilvl="0" w:tplc="44560294">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5">
    <w:nsid w:val="3F4A3E88"/>
    <w:multiLevelType w:val="hybridMultilevel"/>
    <w:tmpl w:val="09322D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0A83365"/>
    <w:multiLevelType w:val="hybridMultilevel"/>
    <w:tmpl w:val="DB9A29F0"/>
    <w:lvl w:ilvl="0" w:tplc="407088E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40F94883"/>
    <w:multiLevelType w:val="hybridMultilevel"/>
    <w:tmpl w:val="3FC26C6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2EE65F2"/>
    <w:multiLevelType w:val="hybridMultilevel"/>
    <w:tmpl w:val="316C6D7C"/>
    <w:lvl w:ilvl="0" w:tplc="08C617B0">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9">
    <w:nsid w:val="465F687F"/>
    <w:multiLevelType w:val="hybridMultilevel"/>
    <w:tmpl w:val="3500966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7F67284"/>
    <w:multiLevelType w:val="hybridMultilevel"/>
    <w:tmpl w:val="8AC42A6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8CF0070"/>
    <w:multiLevelType w:val="hybridMultilevel"/>
    <w:tmpl w:val="1B9A5D6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499632B9"/>
    <w:multiLevelType w:val="hybridMultilevel"/>
    <w:tmpl w:val="4BC64AC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56A13781"/>
    <w:multiLevelType w:val="hybridMultilevel"/>
    <w:tmpl w:val="E544EC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7726CF9"/>
    <w:multiLevelType w:val="hybridMultilevel"/>
    <w:tmpl w:val="FD5A12E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58DF1F4B"/>
    <w:multiLevelType w:val="hybridMultilevel"/>
    <w:tmpl w:val="E544EC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59B705BE"/>
    <w:multiLevelType w:val="hybridMultilevel"/>
    <w:tmpl w:val="09322D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BE76778"/>
    <w:multiLevelType w:val="hybridMultilevel"/>
    <w:tmpl w:val="CAD02522"/>
    <w:lvl w:ilvl="0" w:tplc="CCDCA35E">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8">
    <w:nsid w:val="5C37750C"/>
    <w:multiLevelType w:val="hybridMultilevel"/>
    <w:tmpl w:val="834C9D76"/>
    <w:lvl w:ilvl="0" w:tplc="DE8C4DB4">
      <w:start w:val="1"/>
      <w:numFmt w:val="decimal"/>
      <w:lvlText w:val="%1."/>
      <w:lvlJc w:val="left"/>
      <w:pPr>
        <w:ind w:left="720" w:hanging="360"/>
      </w:pPr>
      <w:rPr>
        <w:rFonts w:cs="TTE1BFD5A0t00"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6659398C"/>
    <w:multiLevelType w:val="hybridMultilevel"/>
    <w:tmpl w:val="601A481A"/>
    <w:lvl w:ilvl="0" w:tplc="8EC0DF76">
      <w:start w:val="1"/>
      <w:numFmt w:val="lowerLetter"/>
      <w:lvlText w:val="%1)"/>
      <w:lvlJc w:val="left"/>
      <w:pPr>
        <w:ind w:left="786" w:hanging="360"/>
      </w:pPr>
      <w:rPr>
        <w:rFonts w:cs="TTE1BFD5A0t00" w:hint="default"/>
        <w:b/>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0">
    <w:nsid w:val="66A5039F"/>
    <w:multiLevelType w:val="hybridMultilevel"/>
    <w:tmpl w:val="3D66D424"/>
    <w:lvl w:ilvl="0" w:tplc="A7B6A624">
      <w:start w:val="3"/>
      <w:numFmt w:val="bullet"/>
      <w:lvlText w:val=""/>
      <w:lvlJc w:val="left"/>
      <w:pPr>
        <w:ind w:left="720" w:hanging="360"/>
      </w:pPr>
      <w:rPr>
        <w:rFonts w:ascii="Wingdings" w:eastAsia="Calibri"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0385FBB"/>
    <w:multiLevelType w:val="hybridMultilevel"/>
    <w:tmpl w:val="9A8ED29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743F611E"/>
    <w:multiLevelType w:val="hybridMultilevel"/>
    <w:tmpl w:val="1A5EEF80"/>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3">
    <w:nsid w:val="789530D9"/>
    <w:multiLevelType w:val="hybridMultilevel"/>
    <w:tmpl w:val="A9ACB40E"/>
    <w:lvl w:ilvl="0" w:tplc="99D4DB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92E32E6"/>
    <w:multiLevelType w:val="hybridMultilevel"/>
    <w:tmpl w:val="BFB28882"/>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5">
    <w:nsid w:val="7EB11CD2"/>
    <w:multiLevelType w:val="hybridMultilevel"/>
    <w:tmpl w:val="DC1817E2"/>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num w:numId="1">
    <w:abstractNumId w:val="35"/>
  </w:num>
  <w:num w:numId="2">
    <w:abstractNumId w:val="7"/>
  </w:num>
  <w:num w:numId="3">
    <w:abstractNumId w:val="41"/>
  </w:num>
  <w:num w:numId="4">
    <w:abstractNumId w:val="32"/>
  </w:num>
  <w:num w:numId="5">
    <w:abstractNumId w:val="25"/>
  </w:num>
  <w:num w:numId="6">
    <w:abstractNumId w:val="11"/>
  </w:num>
  <w:num w:numId="7">
    <w:abstractNumId w:val="42"/>
  </w:num>
  <w:num w:numId="8">
    <w:abstractNumId w:val="44"/>
  </w:num>
  <w:num w:numId="9">
    <w:abstractNumId w:val="39"/>
  </w:num>
  <w:num w:numId="10">
    <w:abstractNumId w:val="38"/>
  </w:num>
  <w:num w:numId="11">
    <w:abstractNumId w:val="2"/>
  </w:num>
  <w:num w:numId="12">
    <w:abstractNumId w:val="30"/>
  </w:num>
  <w:num w:numId="13">
    <w:abstractNumId w:val="0"/>
  </w:num>
  <w:num w:numId="14">
    <w:abstractNumId w:val="45"/>
  </w:num>
  <w:num w:numId="15">
    <w:abstractNumId w:val="20"/>
  </w:num>
  <w:num w:numId="16">
    <w:abstractNumId w:val="1"/>
  </w:num>
  <w:num w:numId="17">
    <w:abstractNumId w:val="43"/>
  </w:num>
  <w:num w:numId="18">
    <w:abstractNumId w:val="26"/>
  </w:num>
  <w:num w:numId="19">
    <w:abstractNumId w:val="21"/>
  </w:num>
  <w:num w:numId="20">
    <w:abstractNumId w:val="3"/>
  </w:num>
  <w:num w:numId="21">
    <w:abstractNumId w:val="23"/>
  </w:num>
  <w:num w:numId="22">
    <w:abstractNumId w:val="8"/>
  </w:num>
  <w:num w:numId="23">
    <w:abstractNumId w:val="6"/>
  </w:num>
  <w:num w:numId="24">
    <w:abstractNumId w:val="18"/>
  </w:num>
  <w:num w:numId="25">
    <w:abstractNumId w:val="19"/>
  </w:num>
  <w:num w:numId="26">
    <w:abstractNumId w:val="27"/>
  </w:num>
  <w:num w:numId="27">
    <w:abstractNumId w:val="14"/>
  </w:num>
  <w:num w:numId="28">
    <w:abstractNumId w:val="28"/>
  </w:num>
  <w:num w:numId="29">
    <w:abstractNumId w:val="37"/>
  </w:num>
  <w:num w:numId="30">
    <w:abstractNumId w:val="10"/>
  </w:num>
  <w:num w:numId="31">
    <w:abstractNumId w:val="15"/>
  </w:num>
  <w:num w:numId="32">
    <w:abstractNumId w:val="22"/>
  </w:num>
  <w:num w:numId="33">
    <w:abstractNumId w:val="31"/>
  </w:num>
  <w:num w:numId="34">
    <w:abstractNumId w:val="40"/>
  </w:num>
  <w:num w:numId="35">
    <w:abstractNumId w:val="13"/>
  </w:num>
  <w:num w:numId="36">
    <w:abstractNumId w:val="16"/>
  </w:num>
  <w:num w:numId="37">
    <w:abstractNumId w:val="34"/>
  </w:num>
  <w:num w:numId="38">
    <w:abstractNumId w:val="17"/>
  </w:num>
  <w:num w:numId="39">
    <w:abstractNumId w:val="12"/>
  </w:num>
  <w:num w:numId="40">
    <w:abstractNumId w:val="29"/>
  </w:num>
  <w:num w:numId="41">
    <w:abstractNumId w:val="4"/>
  </w:num>
  <w:num w:numId="42">
    <w:abstractNumId w:val="9"/>
  </w:num>
  <w:num w:numId="43">
    <w:abstractNumId w:val="33"/>
  </w:num>
  <w:num w:numId="44">
    <w:abstractNumId w:val="5"/>
  </w:num>
  <w:num w:numId="45">
    <w:abstractNumId w:val="36"/>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rsids>
    <w:rsidRoot w:val="001B783C"/>
    <w:rsid w:val="000100AA"/>
    <w:rsid w:val="000170E9"/>
    <w:rsid w:val="0002337B"/>
    <w:rsid w:val="000438A7"/>
    <w:rsid w:val="000536D7"/>
    <w:rsid w:val="00054F7B"/>
    <w:rsid w:val="000610E5"/>
    <w:rsid w:val="000747D1"/>
    <w:rsid w:val="0007487E"/>
    <w:rsid w:val="000856AE"/>
    <w:rsid w:val="00087661"/>
    <w:rsid w:val="000911E3"/>
    <w:rsid w:val="0009142D"/>
    <w:rsid w:val="00094791"/>
    <w:rsid w:val="0009726E"/>
    <w:rsid w:val="000B139B"/>
    <w:rsid w:val="000B20B8"/>
    <w:rsid w:val="000D1A97"/>
    <w:rsid w:val="000D4428"/>
    <w:rsid w:val="000E7352"/>
    <w:rsid w:val="000F2E95"/>
    <w:rsid w:val="00120D9B"/>
    <w:rsid w:val="00123229"/>
    <w:rsid w:val="001418FA"/>
    <w:rsid w:val="00150357"/>
    <w:rsid w:val="0015298A"/>
    <w:rsid w:val="00162AE7"/>
    <w:rsid w:val="0018364A"/>
    <w:rsid w:val="00187438"/>
    <w:rsid w:val="001913F4"/>
    <w:rsid w:val="001936A0"/>
    <w:rsid w:val="001A5C7B"/>
    <w:rsid w:val="001B783C"/>
    <w:rsid w:val="001C0FCD"/>
    <w:rsid w:val="001E6224"/>
    <w:rsid w:val="001F5DB0"/>
    <w:rsid w:val="002271F0"/>
    <w:rsid w:val="00242E50"/>
    <w:rsid w:val="0024489D"/>
    <w:rsid w:val="00254D9C"/>
    <w:rsid w:val="002560C8"/>
    <w:rsid w:val="00270B31"/>
    <w:rsid w:val="00272ED2"/>
    <w:rsid w:val="0029536B"/>
    <w:rsid w:val="002A3E3B"/>
    <w:rsid w:val="002A3FBB"/>
    <w:rsid w:val="002C1EA5"/>
    <w:rsid w:val="00304421"/>
    <w:rsid w:val="003044FC"/>
    <w:rsid w:val="00306922"/>
    <w:rsid w:val="003124F1"/>
    <w:rsid w:val="0031559B"/>
    <w:rsid w:val="00335EB5"/>
    <w:rsid w:val="003408A1"/>
    <w:rsid w:val="00354FBF"/>
    <w:rsid w:val="0036168A"/>
    <w:rsid w:val="0036755C"/>
    <w:rsid w:val="00374FE2"/>
    <w:rsid w:val="00376FE2"/>
    <w:rsid w:val="003A6F61"/>
    <w:rsid w:val="003C1B16"/>
    <w:rsid w:val="003D06F2"/>
    <w:rsid w:val="003F63EE"/>
    <w:rsid w:val="0041595F"/>
    <w:rsid w:val="00422DB1"/>
    <w:rsid w:val="00465B5A"/>
    <w:rsid w:val="00474F4D"/>
    <w:rsid w:val="00493D7C"/>
    <w:rsid w:val="004A1544"/>
    <w:rsid w:val="004C080F"/>
    <w:rsid w:val="004D1A04"/>
    <w:rsid w:val="004D399F"/>
    <w:rsid w:val="004D4408"/>
    <w:rsid w:val="004D4DC7"/>
    <w:rsid w:val="004E705E"/>
    <w:rsid w:val="004F40B3"/>
    <w:rsid w:val="005057F6"/>
    <w:rsid w:val="005100C7"/>
    <w:rsid w:val="00523FE3"/>
    <w:rsid w:val="00543C2E"/>
    <w:rsid w:val="00573D56"/>
    <w:rsid w:val="0057623F"/>
    <w:rsid w:val="005810F6"/>
    <w:rsid w:val="00590B6A"/>
    <w:rsid w:val="00595902"/>
    <w:rsid w:val="005C44B0"/>
    <w:rsid w:val="005C6520"/>
    <w:rsid w:val="005C7A99"/>
    <w:rsid w:val="005D31E2"/>
    <w:rsid w:val="005E171D"/>
    <w:rsid w:val="005F6717"/>
    <w:rsid w:val="00601B29"/>
    <w:rsid w:val="00610A30"/>
    <w:rsid w:val="00612C67"/>
    <w:rsid w:val="0061415F"/>
    <w:rsid w:val="0061792E"/>
    <w:rsid w:val="00621407"/>
    <w:rsid w:val="00631D0E"/>
    <w:rsid w:val="00660DB7"/>
    <w:rsid w:val="0067225F"/>
    <w:rsid w:val="0069680E"/>
    <w:rsid w:val="006A5D62"/>
    <w:rsid w:val="006B1619"/>
    <w:rsid w:val="006B2CC2"/>
    <w:rsid w:val="006B5693"/>
    <w:rsid w:val="006C4E1F"/>
    <w:rsid w:val="006C636C"/>
    <w:rsid w:val="006D0FFB"/>
    <w:rsid w:val="006E1BE8"/>
    <w:rsid w:val="006E7B56"/>
    <w:rsid w:val="006F0770"/>
    <w:rsid w:val="006F1081"/>
    <w:rsid w:val="006F1823"/>
    <w:rsid w:val="007051C4"/>
    <w:rsid w:val="007220E0"/>
    <w:rsid w:val="00722704"/>
    <w:rsid w:val="00723CFC"/>
    <w:rsid w:val="00725036"/>
    <w:rsid w:val="007362D7"/>
    <w:rsid w:val="00740890"/>
    <w:rsid w:val="00755034"/>
    <w:rsid w:val="00775059"/>
    <w:rsid w:val="00775899"/>
    <w:rsid w:val="00782C00"/>
    <w:rsid w:val="00783F1A"/>
    <w:rsid w:val="0079457F"/>
    <w:rsid w:val="00795ABB"/>
    <w:rsid w:val="007B7638"/>
    <w:rsid w:val="007D51B9"/>
    <w:rsid w:val="007E301B"/>
    <w:rsid w:val="007E57BF"/>
    <w:rsid w:val="0081081E"/>
    <w:rsid w:val="00811B5C"/>
    <w:rsid w:val="008132F2"/>
    <w:rsid w:val="0083629C"/>
    <w:rsid w:val="008365A9"/>
    <w:rsid w:val="008422AB"/>
    <w:rsid w:val="00867EC4"/>
    <w:rsid w:val="00867FCC"/>
    <w:rsid w:val="00876920"/>
    <w:rsid w:val="008802F4"/>
    <w:rsid w:val="008910F6"/>
    <w:rsid w:val="00895FB2"/>
    <w:rsid w:val="00896D14"/>
    <w:rsid w:val="008B4C36"/>
    <w:rsid w:val="008B4E79"/>
    <w:rsid w:val="008E104F"/>
    <w:rsid w:val="008E1160"/>
    <w:rsid w:val="008F3A5E"/>
    <w:rsid w:val="009130E6"/>
    <w:rsid w:val="00922D60"/>
    <w:rsid w:val="00933E7F"/>
    <w:rsid w:val="00940269"/>
    <w:rsid w:val="009451CC"/>
    <w:rsid w:val="00945F7B"/>
    <w:rsid w:val="00981CBD"/>
    <w:rsid w:val="009851A8"/>
    <w:rsid w:val="009A2FA7"/>
    <w:rsid w:val="009A51FF"/>
    <w:rsid w:val="009F0B75"/>
    <w:rsid w:val="009F4472"/>
    <w:rsid w:val="00A037AE"/>
    <w:rsid w:val="00A12BB6"/>
    <w:rsid w:val="00A2293B"/>
    <w:rsid w:val="00A33A5B"/>
    <w:rsid w:val="00A4012F"/>
    <w:rsid w:val="00A4592F"/>
    <w:rsid w:val="00A537EF"/>
    <w:rsid w:val="00A57A7D"/>
    <w:rsid w:val="00A67AA4"/>
    <w:rsid w:val="00A914BA"/>
    <w:rsid w:val="00AC1E59"/>
    <w:rsid w:val="00AC2CEA"/>
    <w:rsid w:val="00AC6680"/>
    <w:rsid w:val="00AD238C"/>
    <w:rsid w:val="00AD2AC8"/>
    <w:rsid w:val="00AD4E0E"/>
    <w:rsid w:val="00AD5E5B"/>
    <w:rsid w:val="00AE4365"/>
    <w:rsid w:val="00AE591A"/>
    <w:rsid w:val="00AE63D0"/>
    <w:rsid w:val="00B17742"/>
    <w:rsid w:val="00B471B6"/>
    <w:rsid w:val="00B613BF"/>
    <w:rsid w:val="00B757AF"/>
    <w:rsid w:val="00B75BE1"/>
    <w:rsid w:val="00B77DB7"/>
    <w:rsid w:val="00B82BBD"/>
    <w:rsid w:val="00B86306"/>
    <w:rsid w:val="00B9671E"/>
    <w:rsid w:val="00BB1E0B"/>
    <w:rsid w:val="00BB4E20"/>
    <w:rsid w:val="00BC0F81"/>
    <w:rsid w:val="00BC3438"/>
    <w:rsid w:val="00BC3750"/>
    <w:rsid w:val="00BD0440"/>
    <w:rsid w:val="00BD341B"/>
    <w:rsid w:val="00BD4784"/>
    <w:rsid w:val="00BE682B"/>
    <w:rsid w:val="00BE78E9"/>
    <w:rsid w:val="00BF2D96"/>
    <w:rsid w:val="00BF3812"/>
    <w:rsid w:val="00BF4688"/>
    <w:rsid w:val="00BF5175"/>
    <w:rsid w:val="00C17253"/>
    <w:rsid w:val="00C270DB"/>
    <w:rsid w:val="00C304B0"/>
    <w:rsid w:val="00C40BC2"/>
    <w:rsid w:val="00C42025"/>
    <w:rsid w:val="00C71C23"/>
    <w:rsid w:val="00C7697B"/>
    <w:rsid w:val="00C80C8D"/>
    <w:rsid w:val="00C8161F"/>
    <w:rsid w:val="00C91553"/>
    <w:rsid w:val="00CA45D3"/>
    <w:rsid w:val="00CB2A81"/>
    <w:rsid w:val="00CB6AE4"/>
    <w:rsid w:val="00CC51CD"/>
    <w:rsid w:val="00CC5B56"/>
    <w:rsid w:val="00CD2D2C"/>
    <w:rsid w:val="00CE0CE3"/>
    <w:rsid w:val="00CF5F1B"/>
    <w:rsid w:val="00CF64F3"/>
    <w:rsid w:val="00D07A3D"/>
    <w:rsid w:val="00D11942"/>
    <w:rsid w:val="00D132FE"/>
    <w:rsid w:val="00D1334E"/>
    <w:rsid w:val="00D16979"/>
    <w:rsid w:val="00D17922"/>
    <w:rsid w:val="00D32F86"/>
    <w:rsid w:val="00D42FFA"/>
    <w:rsid w:val="00D67DFC"/>
    <w:rsid w:val="00D85C71"/>
    <w:rsid w:val="00DA2FB3"/>
    <w:rsid w:val="00DB23AA"/>
    <w:rsid w:val="00DB7445"/>
    <w:rsid w:val="00DE1DC4"/>
    <w:rsid w:val="00E13577"/>
    <w:rsid w:val="00E16364"/>
    <w:rsid w:val="00E20181"/>
    <w:rsid w:val="00E320A3"/>
    <w:rsid w:val="00E417F2"/>
    <w:rsid w:val="00E44B93"/>
    <w:rsid w:val="00E53554"/>
    <w:rsid w:val="00E70397"/>
    <w:rsid w:val="00E769B7"/>
    <w:rsid w:val="00E821B5"/>
    <w:rsid w:val="00E83399"/>
    <w:rsid w:val="00E87189"/>
    <w:rsid w:val="00E9142C"/>
    <w:rsid w:val="00EA293B"/>
    <w:rsid w:val="00EB4204"/>
    <w:rsid w:val="00EB6EC2"/>
    <w:rsid w:val="00EC1900"/>
    <w:rsid w:val="00EC3D56"/>
    <w:rsid w:val="00EE55E0"/>
    <w:rsid w:val="00EE61D7"/>
    <w:rsid w:val="00F03C10"/>
    <w:rsid w:val="00F06CC8"/>
    <w:rsid w:val="00F16AA6"/>
    <w:rsid w:val="00F42E4F"/>
    <w:rsid w:val="00F71AC3"/>
    <w:rsid w:val="00F9020B"/>
    <w:rsid w:val="00F91A27"/>
    <w:rsid w:val="00F93E17"/>
    <w:rsid w:val="00FA2DD8"/>
    <w:rsid w:val="00FB0831"/>
    <w:rsid w:val="00FB5107"/>
    <w:rsid w:val="00FC2F88"/>
    <w:rsid w:val="00FC7788"/>
    <w:rsid w:val="00FC7FC7"/>
    <w:rsid w:val="00FF2BA3"/>
    <w:rsid w:val="00FF2D1F"/>
    <w:rsid w:val="00FF4F6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408A1"/>
    <w:pPr>
      <w:spacing w:after="200" w:line="276" w:lineRule="auto"/>
    </w:pPr>
    <w:rPr>
      <w:sz w:val="22"/>
      <w:szCs w:val="22"/>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1B783C"/>
    <w:pPr>
      <w:spacing w:before="100" w:beforeAutospacing="1" w:after="100" w:afterAutospacing="1" w:line="240" w:lineRule="auto"/>
    </w:pPr>
    <w:rPr>
      <w:rFonts w:ascii="Times New Roman" w:eastAsia="Times New Roman" w:hAnsi="Times New Roman"/>
      <w:sz w:val="24"/>
      <w:szCs w:val="24"/>
    </w:rPr>
  </w:style>
  <w:style w:type="paragraph" w:styleId="lfej">
    <w:name w:val="header"/>
    <w:basedOn w:val="Norml"/>
    <w:link w:val="lfejChar"/>
    <w:uiPriority w:val="99"/>
    <w:unhideWhenUsed/>
    <w:rsid w:val="00C7697B"/>
    <w:pPr>
      <w:tabs>
        <w:tab w:val="center" w:pos="4536"/>
        <w:tab w:val="right" w:pos="9072"/>
      </w:tabs>
      <w:spacing w:after="0" w:line="240" w:lineRule="auto"/>
    </w:pPr>
    <w:rPr>
      <w:sz w:val="20"/>
      <w:szCs w:val="20"/>
    </w:rPr>
  </w:style>
  <w:style w:type="character" w:customStyle="1" w:styleId="lfejChar">
    <w:name w:val="Élőfej Char"/>
    <w:link w:val="lfej"/>
    <w:uiPriority w:val="99"/>
    <w:rsid w:val="00C7697B"/>
    <w:rPr>
      <w:lang w:val="en-US"/>
    </w:rPr>
  </w:style>
  <w:style w:type="paragraph" w:styleId="llb">
    <w:name w:val="footer"/>
    <w:basedOn w:val="Norml"/>
    <w:link w:val="llbChar"/>
    <w:uiPriority w:val="99"/>
    <w:unhideWhenUsed/>
    <w:rsid w:val="00C7697B"/>
    <w:pPr>
      <w:tabs>
        <w:tab w:val="center" w:pos="4536"/>
        <w:tab w:val="right" w:pos="9072"/>
      </w:tabs>
      <w:spacing w:after="0" w:line="240" w:lineRule="auto"/>
    </w:pPr>
    <w:rPr>
      <w:sz w:val="20"/>
      <w:szCs w:val="20"/>
    </w:rPr>
  </w:style>
  <w:style w:type="character" w:customStyle="1" w:styleId="llbChar">
    <w:name w:val="Élőláb Char"/>
    <w:link w:val="llb"/>
    <w:uiPriority w:val="99"/>
    <w:rsid w:val="00C7697B"/>
    <w:rPr>
      <w:lang w:val="en-US"/>
    </w:rPr>
  </w:style>
  <w:style w:type="paragraph" w:styleId="Buborkszveg">
    <w:name w:val="Balloon Text"/>
    <w:basedOn w:val="Norml"/>
    <w:link w:val="BuborkszvegChar"/>
    <w:uiPriority w:val="99"/>
    <w:semiHidden/>
    <w:unhideWhenUsed/>
    <w:rsid w:val="00C7697B"/>
    <w:pPr>
      <w:spacing w:after="0" w:line="240" w:lineRule="auto"/>
    </w:pPr>
    <w:rPr>
      <w:rFonts w:ascii="Tahoma" w:hAnsi="Tahoma"/>
      <w:sz w:val="16"/>
      <w:szCs w:val="16"/>
    </w:rPr>
  </w:style>
  <w:style w:type="character" w:customStyle="1" w:styleId="BuborkszvegChar">
    <w:name w:val="Buborékszöveg Char"/>
    <w:link w:val="Buborkszveg"/>
    <w:uiPriority w:val="99"/>
    <w:semiHidden/>
    <w:rsid w:val="00C7697B"/>
    <w:rPr>
      <w:rFonts w:ascii="Tahoma" w:hAnsi="Tahoma" w:cs="Tahoma"/>
      <w:sz w:val="16"/>
      <w:szCs w:val="16"/>
      <w:lang w:val="en-US"/>
    </w:rPr>
  </w:style>
  <w:style w:type="character" w:styleId="Hiperhivatkozs">
    <w:name w:val="Hyperlink"/>
    <w:uiPriority w:val="99"/>
    <w:unhideWhenUsed/>
    <w:rsid w:val="000D1A97"/>
    <w:rPr>
      <w:color w:val="0000FF"/>
      <w:u w:val="single"/>
    </w:rPr>
  </w:style>
  <w:style w:type="character" w:styleId="Mrltotthiperhivatkozs">
    <w:name w:val="FollowedHyperlink"/>
    <w:uiPriority w:val="99"/>
    <w:semiHidden/>
    <w:unhideWhenUsed/>
    <w:rsid w:val="008F3A5E"/>
    <w:rPr>
      <w:color w:val="954F72"/>
      <w:u w:val="single"/>
    </w:rPr>
  </w:style>
  <w:style w:type="table" w:styleId="Rcsostblzat">
    <w:name w:val="Table Grid"/>
    <w:basedOn w:val="Normltblzat"/>
    <w:uiPriority w:val="59"/>
    <w:rsid w:val="005C65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5C6520"/>
    <w:pPr>
      <w:ind w:left="720"/>
      <w:contextualSpacing/>
    </w:pPr>
  </w:style>
  <w:style w:type="character" w:styleId="Lbjegyzet-hivatkozs">
    <w:name w:val="footnote reference"/>
    <w:aliases w:val="Footnote Refernece,Footnotes refss,4_G,callout,Footnote Reference Superscript,Appel note de bas de p.,Footnote Reference Number,BVI fnr,ftref,Footnote text,Footnote symbol, BVI fnr,Footnote Reference,Style 10,Footnote number,16 Poi"/>
    <w:link w:val="FootnoteReferneceChar"/>
    <w:unhideWhenUsed/>
    <w:rsid w:val="00AC1E59"/>
    <w:rPr>
      <w:vertAlign w:val="superscript"/>
    </w:rPr>
  </w:style>
  <w:style w:type="paragraph" w:customStyle="1" w:styleId="Default">
    <w:name w:val="Default"/>
    <w:rsid w:val="00AC1E59"/>
    <w:pPr>
      <w:autoSpaceDE w:val="0"/>
      <w:autoSpaceDN w:val="0"/>
      <w:adjustRightInd w:val="0"/>
    </w:pPr>
    <w:rPr>
      <w:rFonts w:ascii="Arial" w:eastAsiaTheme="minorHAnsi" w:hAnsi="Arial" w:cs="Arial"/>
      <w:color w:val="000000"/>
      <w:sz w:val="24"/>
      <w:szCs w:val="24"/>
      <w:lang w:eastAsia="en-US"/>
    </w:rPr>
  </w:style>
  <w:style w:type="paragraph" w:styleId="Lbjegyzetszveg">
    <w:name w:val="footnote text"/>
    <w:basedOn w:val="Norml"/>
    <w:link w:val="LbjegyzetszvegChar"/>
    <w:unhideWhenUsed/>
    <w:rsid w:val="00660DB7"/>
    <w:pPr>
      <w:spacing w:after="0" w:line="240" w:lineRule="auto"/>
    </w:pPr>
    <w:rPr>
      <w:sz w:val="20"/>
      <w:szCs w:val="20"/>
    </w:rPr>
  </w:style>
  <w:style w:type="character" w:customStyle="1" w:styleId="LbjegyzetszvegChar">
    <w:name w:val="Lábjegyzetszöveg Char"/>
    <w:basedOn w:val="Bekezdsalapbettpusa"/>
    <w:link w:val="Lbjegyzetszveg"/>
    <w:rsid w:val="00660DB7"/>
    <w:rPr>
      <w:lang w:val="en-US" w:eastAsia="en-US"/>
    </w:rPr>
  </w:style>
  <w:style w:type="character" w:styleId="Jegyzethivatkozs">
    <w:name w:val="annotation reference"/>
    <w:uiPriority w:val="99"/>
    <w:unhideWhenUsed/>
    <w:rsid w:val="00AC2CEA"/>
    <w:rPr>
      <w:sz w:val="16"/>
      <w:szCs w:val="16"/>
    </w:rPr>
  </w:style>
  <w:style w:type="paragraph" w:customStyle="1" w:styleId="FRABodyText">
    <w:name w:val="(FRA) Body Text"/>
    <w:link w:val="FRABodyTextChar1"/>
    <w:qFormat/>
    <w:rsid w:val="00AC2CEA"/>
    <w:pPr>
      <w:jc w:val="both"/>
    </w:pPr>
    <w:rPr>
      <w:rFonts w:ascii="Times New Roman" w:hAnsi="Times New Roman"/>
      <w:sz w:val="22"/>
      <w:szCs w:val="22"/>
      <w:lang w:val="en-GB" w:eastAsia="en-US" w:bidi="en-US"/>
    </w:rPr>
  </w:style>
  <w:style w:type="paragraph" w:customStyle="1" w:styleId="FRAFootnoteText">
    <w:name w:val="(FRA) Footnote Text"/>
    <w:basedOn w:val="FRABodyText"/>
    <w:link w:val="FRAFootnoteTextCarattere"/>
    <w:uiPriority w:val="99"/>
    <w:qFormat/>
    <w:rsid w:val="00AC2CEA"/>
    <w:rPr>
      <w:sz w:val="18"/>
      <w:lang w:val="en-US" w:eastAsia="en-GB"/>
    </w:rPr>
  </w:style>
  <w:style w:type="character" w:customStyle="1" w:styleId="FRABodyTextChar1">
    <w:name w:val="(FRA) Body Text Char1"/>
    <w:link w:val="FRABodyText"/>
    <w:locked/>
    <w:rsid w:val="00AC2CEA"/>
    <w:rPr>
      <w:rFonts w:ascii="Times New Roman" w:hAnsi="Times New Roman"/>
      <w:sz w:val="22"/>
      <w:szCs w:val="22"/>
      <w:lang w:val="en-GB" w:eastAsia="en-US" w:bidi="en-US"/>
    </w:rPr>
  </w:style>
  <w:style w:type="character" w:customStyle="1" w:styleId="FRAFootnoteTextCarattere">
    <w:name w:val="(FRA) Footnote Text Carattere"/>
    <w:link w:val="FRAFootnoteText"/>
    <w:uiPriority w:val="99"/>
    <w:locked/>
    <w:rsid w:val="00AC2CEA"/>
    <w:rPr>
      <w:rFonts w:ascii="Times New Roman" w:hAnsi="Times New Roman"/>
      <w:sz w:val="18"/>
      <w:szCs w:val="22"/>
      <w:lang w:val="en-US" w:eastAsia="en-GB" w:bidi="en-US"/>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l"/>
    <w:link w:val="Lbjegyzet-hivatkozs"/>
    <w:uiPriority w:val="99"/>
    <w:rsid w:val="00AC2CEA"/>
    <w:pPr>
      <w:spacing w:after="160" w:line="240" w:lineRule="exact"/>
    </w:pPr>
    <w:rPr>
      <w:sz w:val="20"/>
      <w:szCs w:val="20"/>
      <w:vertAlign w:val="superscript"/>
      <w:lang w:val="hu-HU" w:eastAsia="hu-HU"/>
    </w:rPr>
  </w:style>
  <w:style w:type="character" w:customStyle="1" w:styleId="docref">
    <w:name w:val="docref"/>
    <w:basedOn w:val="Bekezdsalapbettpusa"/>
    <w:rsid w:val="009F0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408A1"/>
    <w:pPr>
      <w:spacing w:after="200" w:line="276" w:lineRule="auto"/>
    </w:pPr>
    <w:rPr>
      <w:sz w:val="22"/>
      <w:szCs w:val="22"/>
      <w:lang w:val="en-US" w:eastAsia="en-US"/>
    </w:rPr>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1B783C"/>
    <w:pPr>
      <w:spacing w:before="100" w:beforeAutospacing="1" w:after="100" w:afterAutospacing="1" w:line="240" w:lineRule="auto"/>
    </w:pPr>
    <w:rPr>
      <w:rFonts w:ascii="Times New Roman" w:eastAsia="Times New Roman" w:hAnsi="Times New Roman"/>
      <w:sz w:val="24"/>
      <w:szCs w:val="24"/>
    </w:rPr>
  </w:style>
  <w:style w:type="paragraph" w:styleId="lfej">
    <w:name w:val="header"/>
    <w:basedOn w:val="Norml"/>
    <w:link w:val="lfejChar"/>
    <w:uiPriority w:val="99"/>
    <w:unhideWhenUsed/>
    <w:rsid w:val="00C7697B"/>
    <w:pPr>
      <w:tabs>
        <w:tab w:val="center" w:pos="4536"/>
        <w:tab w:val="right" w:pos="9072"/>
      </w:tabs>
      <w:spacing w:after="0" w:line="240" w:lineRule="auto"/>
    </w:pPr>
    <w:rPr>
      <w:sz w:val="20"/>
      <w:szCs w:val="20"/>
      <w:lang w:eastAsia="x-none"/>
    </w:rPr>
  </w:style>
  <w:style w:type="character" w:customStyle="1" w:styleId="lfejChar">
    <w:name w:val="Élőfej Char"/>
    <w:link w:val="lfej"/>
    <w:uiPriority w:val="99"/>
    <w:rsid w:val="00C7697B"/>
    <w:rPr>
      <w:lang w:val="en-US"/>
    </w:rPr>
  </w:style>
  <w:style w:type="paragraph" w:styleId="llb">
    <w:name w:val="footer"/>
    <w:basedOn w:val="Norml"/>
    <w:link w:val="llbChar"/>
    <w:uiPriority w:val="99"/>
    <w:unhideWhenUsed/>
    <w:rsid w:val="00C7697B"/>
    <w:pPr>
      <w:tabs>
        <w:tab w:val="center" w:pos="4536"/>
        <w:tab w:val="right" w:pos="9072"/>
      </w:tabs>
      <w:spacing w:after="0" w:line="240" w:lineRule="auto"/>
    </w:pPr>
    <w:rPr>
      <w:sz w:val="20"/>
      <w:szCs w:val="20"/>
      <w:lang w:eastAsia="x-none"/>
    </w:rPr>
  </w:style>
  <w:style w:type="character" w:customStyle="1" w:styleId="llbChar">
    <w:name w:val="Élőláb Char"/>
    <w:link w:val="llb"/>
    <w:uiPriority w:val="99"/>
    <w:rsid w:val="00C7697B"/>
    <w:rPr>
      <w:lang w:val="en-US"/>
    </w:rPr>
  </w:style>
  <w:style w:type="paragraph" w:styleId="Buborkszveg">
    <w:name w:val="Balloon Text"/>
    <w:basedOn w:val="Norml"/>
    <w:link w:val="BuborkszvegChar"/>
    <w:uiPriority w:val="99"/>
    <w:semiHidden/>
    <w:unhideWhenUsed/>
    <w:rsid w:val="00C7697B"/>
    <w:pPr>
      <w:spacing w:after="0" w:line="240" w:lineRule="auto"/>
    </w:pPr>
    <w:rPr>
      <w:rFonts w:ascii="Tahoma" w:hAnsi="Tahoma"/>
      <w:sz w:val="16"/>
      <w:szCs w:val="16"/>
      <w:lang w:eastAsia="x-none"/>
    </w:rPr>
  </w:style>
  <w:style w:type="character" w:customStyle="1" w:styleId="BuborkszvegChar">
    <w:name w:val="Buborékszöveg Char"/>
    <w:link w:val="Buborkszveg"/>
    <w:uiPriority w:val="99"/>
    <w:semiHidden/>
    <w:rsid w:val="00C7697B"/>
    <w:rPr>
      <w:rFonts w:ascii="Tahoma" w:hAnsi="Tahoma" w:cs="Tahoma"/>
      <w:sz w:val="16"/>
      <w:szCs w:val="16"/>
      <w:lang w:val="en-US"/>
    </w:rPr>
  </w:style>
  <w:style w:type="character" w:styleId="Hiperhivatkozs">
    <w:name w:val="Hyperlink"/>
    <w:uiPriority w:val="99"/>
    <w:unhideWhenUsed/>
    <w:rsid w:val="000D1A97"/>
    <w:rPr>
      <w:color w:val="0000FF"/>
      <w:u w:val="single"/>
    </w:rPr>
  </w:style>
  <w:style w:type="character" w:styleId="Mrltotthiperhivatkozs">
    <w:name w:val="FollowedHyperlink"/>
    <w:uiPriority w:val="99"/>
    <w:semiHidden/>
    <w:unhideWhenUsed/>
    <w:rsid w:val="008F3A5E"/>
    <w:rPr>
      <w:color w:val="954F72"/>
      <w:u w:val="single"/>
    </w:rPr>
  </w:style>
</w:styles>
</file>

<file path=word/webSettings.xml><?xml version="1.0" encoding="utf-8"?>
<w:webSettings xmlns:r="http://schemas.openxmlformats.org/officeDocument/2006/relationships" xmlns:w="http://schemas.openxmlformats.org/wordprocessingml/2006/main">
  <w:divs>
    <w:div w:id="43793045">
      <w:bodyDiv w:val="1"/>
      <w:marLeft w:val="0"/>
      <w:marRight w:val="0"/>
      <w:marTop w:val="0"/>
      <w:marBottom w:val="0"/>
      <w:divBdr>
        <w:top w:val="none" w:sz="0" w:space="0" w:color="auto"/>
        <w:left w:val="none" w:sz="0" w:space="0" w:color="auto"/>
        <w:bottom w:val="none" w:sz="0" w:space="0" w:color="auto"/>
        <w:right w:val="none" w:sz="0" w:space="0" w:color="auto"/>
      </w:divBdr>
      <w:divsChild>
        <w:div w:id="1203714317">
          <w:marLeft w:val="0"/>
          <w:marRight w:val="0"/>
          <w:marTop w:val="0"/>
          <w:marBottom w:val="0"/>
          <w:divBdr>
            <w:top w:val="none" w:sz="0" w:space="0" w:color="auto"/>
            <w:left w:val="none" w:sz="0" w:space="0" w:color="auto"/>
            <w:bottom w:val="none" w:sz="0" w:space="0" w:color="auto"/>
            <w:right w:val="none" w:sz="0" w:space="0" w:color="auto"/>
          </w:divBdr>
        </w:div>
        <w:div w:id="1263611514">
          <w:marLeft w:val="0"/>
          <w:marRight w:val="0"/>
          <w:marTop w:val="0"/>
          <w:marBottom w:val="0"/>
          <w:divBdr>
            <w:top w:val="none" w:sz="0" w:space="0" w:color="auto"/>
            <w:left w:val="none" w:sz="0" w:space="0" w:color="auto"/>
            <w:bottom w:val="none" w:sz="0" w:space="0" w:color="auto"/>
            <w:right w:val="none" w:sz="0" w:space="0" w:color="auto"/>
          </w:divBdr>
        </w:div>
      </w:divsChild>
    </w:div>
    <w:div w:id="271398424">
      <w:bodyDiv w:val="1"/>
      <w:marLeft w:val="0"/>
      <w:marRight w:val="0"/>
      <w:marTop w:val="0"/>
      <w:marBottom w:val="0"/>
      <w:divBdr>
        <w:top w:val="none" w:sz="0" w:space="0" w:color="auto"/>
        <w:left w:val="none" w:sz="0" w:space="0" w:color="auto"/>
        <w:bottom w:val="none" w:sz="0" w:space="0" w:color="auto"/>
        <w:right w:val="none" w:sz="0" w:space="0" w:color="auto"/>
      </w:divBdr>
    </w:div>
    <w:div w:id="279260135">
      <w:bodyDiv w:val="1"/>
      <w:marLeft w:val="0"/>
      <w:marRight w:val="0"/>
      <w:marTop w:val="0"/>
      <w:marBottom w:val="0"/>
      <w:divBdr>
        <w:top w:val="none" w:sz="0" w:space="0" w:color="auto"/>
        <w:left w:val="none" w:sz="0" w:space="0" w:color="auto"/>
        <w:bottom w:val="none" w:sz="0" w:space="0" w:color="auto"/>
        <w:right w:val="none" w:sz="0" w:space="0" w:color="auto"/>
      </w:divBdr>
    </w:div>
    <w:div w:id="357900995">
      <w:bodyDiv w:val="1"/>
      <w:marLeft w:val="0"/>
      <w:marRight w:val="0"/>
      <w:marTop w:val="0"/>
      <w:marBottom w:val="0"/>
      <w:divBdr>
        <w:top w:val="none" w:sz="0" w:space="0" w:color="auto"/>
        <w:left w:val="none" w:sz="0" w:space="0" w:color="auto"/>
        <w:bottom w:val="none" w:sz="0" w:space="0" w:color="auto"/>
        <w:right w:val="none" w:sz="0" w:space="0" w:color="auto"/>
      </w:divBdr>
      <w:divsChild>
        <w:div w:id="1303920589">
          <w:marLeft w:val="0"/>
          <w:marRight w:val="0"/>
          <w:marTop w:val="0"/>
          <w:marBottom w:val="0"/>
          <w:divBdr>
            <w:top w:val="none" w:sz="0" w:space="0" w:color="auto"/>
            <w:left w:val="none" w:sz="0" w:space="0" w:color="auto"/>
            <w:bottom w:val="none" w:sz="0" w:space="0" w:color="auto"/>
            <w:right w:val="none" w:sz="0" w:space="0" w:color="auto"/>
          </w:divBdr>
        </w:div>
        <w:div w:id="1050305073">
          <w:marLeft w:val="0"/>
          <w:marRight w:val="0"/>
          <w:marTop w:val="0"/>
          <w:marBottom w:val="0"/>
          <w:divBdr>
            <w:top w:val="none" w:sz="0" w:space="0" w:color="auto"/>
            <w:left w:val="none" w:sz="0" w:space="0" w:color="auto"/>
            <w:bottom w:val="none" w:sz="0" w:space="0" w:color="auto"/>
            <w:right w:val="none" w:sz="0" w:space="0" w:color="auto"/>
          </w:divBdr>
        </w:div>
      </w:divsChild>
    </w:div>
    <w:div w:id="1685474635">
      <w:bodyDiv w:val="1"/>
      <w:marLeft w:val="0"/>
      <w:marRight w:val="0"/>
      <w:marTop w:val="0"/>
      <w:marBottom w:val="0"/>
      <w:divBdr>
        <w:top w:val="none" w:sz="0" w:space="0" w:color="auto"/>
        <w:left w:val="none" w:sz="0" w:space="0" w:color="auto"/>
        <w:bottom w:val="none" w:sz="0" w:space="0" w:color="auto"/>
        <w:right w:val="none" w:sz="0" w:space="0" w:color="auto"/>
      </w:divBdr>
      <w:divsChild>
        <w:div w:id="1034112111">
          <w:marLeft w:val="0"/>
          <w:marRight w:val="0"/>
          <w:marTop w:val="0"/>
          <w:marBottom w:val="0"/>
          <w:divBdr>
            <w:top w:val="none" w:sz="0" w:space="0" w:color="auto"/>
            <w:left w:val="none" w:sz="0" w:space="0" w:color="auto"/>
            <w:bottom w:val="none" w:sz="0" w:space="0" w:color="auto"/>
            <w:right w:val="none" w:sz="0" w:space="0" w:color="auto"/>
          </w:divBdr>
        </w:div>
        <w:div w:id="1243031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venice.coe.int/docs/2012/CDL-AD%282012%29020-e.pdf" TargetMode="External"/><Relationship Id="rId13" Type="http://schemas.openxmlformats.org/officeDocument/2006/relationships/hyperlink" Target="http://helsinki.hu/en/criminalization-of-homelessness-in-hungary" TargetMode="External"/><Relationship Id="rId18" Type="http://schemas.openxmlformats.org/officeDocument/2006/relationships/hyperlink" Target="http://helsinki.hu/wp-content/uploads/NGO_comments_on_the_5th_Amendment_to_the_Fundamental_Law_October2013.pdf" TargetMode="External"/><Relationship Id="rId3" Type="http://schemas.openxmlformats.org/officeDocument/2006/relationships/hyperlink" Target="http://helsinki.hu/wp-content/uploads/Constitutional-Court-vs-Fourth-Amendment.pdf" TargetMode="External"/><Relationship Id="rId21" Type="http://schemas.openxmlformats.org/officeDocument/2006/relationships/hyperlink" Target="http://www.politics.hu/20140512/court-orders-release-of-tobacco-retail-tender-documents/" TargetMode="External"/><Relationship Id="rId7" Type="http://schemas.openxmlformats.org/officeDocument/2006/relationships/hyperlink" Target="http://www.venice.coe.int/docs/2012/CDL-AD%282012%29001-e.pdf" TargetMode="External"/><Relationship Id="rId12" Type="http://schemas.openxmlformats.org/officeDocument/2006/relationships/hyperlink" Target="http://www.europe.ohchr.org/en/NewsEvents/Pages/DisplayNews.aspx?NewsID=9994&amp;LangID=E" TargetMode="External"/><Relationship Id="rId17" Type="http://schemas.openxmlformats.org/officeDocument/2006/relationships/hyperlink" Target="http://www.valasztasirendszer.hu/wp-content/uploads/pc_flash_report_20140218_TheWinnerTakesItAll.pdf" TargetMode="External"/><Relationship Id="rId2" Type="http://schemas.openxmlformats.org/officeDocument/2006/relationships/hyperlink" Target="http://helsinki.hu/wp-content/uploads/Comments_on_the_Process_of_Framing_the_New_Constitution_of_Hungary_EKI_HCLU_HHC.pdf" TargetMode="External"/><Relationship Id="rId16" Type="http://schemas.openxmlformats.org/officeDocument/2006/relationships/hyperlink" Target="http://www.valasztasirendszer.hu/wp-content/uploads/PC-FES_ConferencePaper_HalfwayIntoTheHungarianElectoralReform_120417.pdf" TargetMode="External"/><Relationship Id="rId20" Type="http://schemas.openxmlformats.org/officeDocument/2006/relationships/hyperlink" Target="http://444.hu/2014/06/05/deutsche-telekom-hungarian-government-collude-to-silence-independent-media/" TargetMode="External"/><Relationship Id="rId1" Type="http://schemas.openxmlformats.org/officeDocument/2006/relationships/hyperlink" Target="http://www.venice.coe.int/webforms/documents/?pdf=CDL-AD%282013%29012-e" TargetMode="External"/><Relationship Id="rId6" Type="http://schemas.openxmlformats.org/officeDocument/2006/relationships/hyperlink" Target="http://helsinki.hu/en/abolishing-the-age-limit-regarding-constitutional-court-judges" TargetMode="External"/><Relationship Id="rId11" Type="http://schemas.openxmlformats.org/officeDocument/2006/relationships/hyperlink" Target="http://helsinki.hu/wp-content/uploads/UNWGAD_HUN_HHC_Addendum_25November2013.pdf" TargetMode="External"/><Relationship Id="rId5" Type="http://schemas.openxmlformats.org/officeDocument/2006/relationships/hyperlink" Target="http://helsinki.hu/wp-content/uploads/Main_concerns_regarding_the_4th_Amendment_to_the_Fundamental_Law_of_Hungary_13032013.pdf" TargetMode="External"/><Relationship Id="rId15" Type="http://schemas.openxmlformats.org/officeDocument/2006/relationships/hyperlink" Target="http://helsinki.hu/wp-content/uploads/HHC-HCLU-EKINT_Collapse_of_Independent_Institutions_23032014.pdf" TargetMode="External"/><Relationship Id="rId10" Type="http://schemas.openxmlformats.org/officeDocument/2006/relationships/hyperlink" Target="http://helsinki.hu/wp-content/uploads/HHC_briefing-paper_UNWGAD_8_Oct_2013.pdf" TargetMode="External"/><Relationship Id="rId19" Type="http://schemas.openxmlformats.org/officeDocument/2006/relationships/hyperlink" Target="http://helsinki.hu/wp-content/uploads/illegitimate_changes_municipal_representation_HCLU_HHC_EKINT_20140611_eng.pdf" TargetMode="External"/><Relationship Id="rId4" Type="http://schemas.openxmlformats.org/officeDocument/2006/relationships/hyperlink" Target="http://www.venice.coe.int/webforms/documents/?pdf=CDL-AD%282013%29012-e" TargetMode="External"/><Relationship Id="rId9" Type="http://schemas.openxmlformats.org/officeDocument/2006/relationships/hyperlink" Target="http://www.assembly.coe.int/Communication/amondoc08_2013.pdf" TargetMode="External"/><Relationship Id="rId14" Type="http://schemas.openxmlformats.org/officeDocument/2006/relationships/hyperlink" Target="http://www.osce.org/odihr/elections/hungary/121098?download=true" TargetMode="External"/><Relationship Id="rId22" Type="http://schemas.openxmlformats.org/officeDocument/2006/relationships/hyperlink" Target="http://advocacy.globalvoicesonline.org/2013/05/08/hungary-government-limits-foia-transparency-law/"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35453-D6E9-45A8-AD02-A7E419890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4730</Words>
  <Characters>32637</Characters>
  <Application>Microsoft Office Word</Application>
  <DocSecurity>0</DocSecurity>
  <Lines>271</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37293</CharactersWithSpaces>
  <SharedDoc>false</SharedDoc>
  <HLinks>
    <vt:vector size="30" baseType="variant">
      <vt:variant>
        <vt:i4>7405617</vt:i4>
      </vt:variant>
      <vt:variant>
        <vt:i4>12</vt:i4>
      </vt:variant>
      <vt:variant>
        <vt:i4>0</vt:i4>
      </vt:variant>
      <vt:variant>
        <vt:i4>5</vt:i4>
      </vt:variant>
      <vt:variant>
        <vt:lpwstr>http://www.transparency.hu/</vt:lpwstr>
      </vt:variant>
      <vt:variant>
        <vt:lpwstr/>
      </vt:variant>
      <vt:variant>
        <vt:i4>7733289</vt:i4>
      </vt:variant>
      <vt:variant>
        <vt:i4>9</vt:i4>
      </vt:variant>
      <vt:variant>
        <vt:i4>0</vt:i4>
      </vt:variant>
      <vt:variant>
        <vt:i4>5</vt:i4>
      </vt:variant>
      <vt:variant>
        <vt:lpwstr>http://www.helsinki.hu/</vt:lpwstr>
      </vt:variant>
      <vt:variant>
        <vt:lpwstr/>
      </vt:variant>
      <vt:variant>
        <vt:i4>4915221</vt:i4>
      </vt:variant>
      <vt:variant>
        <vt:i4>6</vt:i4>
      </vt:variant>
      <vt:variant>
        <vt:i4>0</vt:i4>
      </vt:variant>
      <vt:variant>
        <vt:i4>5</vt:i4>
      </vt:variant>
      <vt:variant>
        <vt:lpwstr>https://www.facebook.com/hungarian.civil.liberties.union</vt:lpwstr>
      </vt:variant>
      <vt:variant>
        <vt:lpwstr/>
      </vt:variant>
      <vt:variant>
        <vt:i4>1179733</vt:i4>
      </vt:variant>
      <vt:variant>
        <vt:i4>3</vt:i4>
      </vt:variant>
      <vt:variant>
        <vt:i4>0</vt:i4>
      </vt:variant>
      <vt:variant>
        <vt:i4>5</vt:i4>
      </vt:variant>
      <vt:variant>
        <vt:lpwstr>http://tasz.hu/en</vt:lpwstr>
      </vt:variant>
      <vt:variant>
        <vt:lpwstr/>
      </vt:variant>
      <vt:variant>
        <vt:i4>5963856</vt:i4>
      </vt:variant>
      <vt:variant>
        <vt:i4>0</vt:i4>
      </vt:variant>
      <vt:variant>
        <vt:i4>0</vt:i4>
      </vt:variant>
      <vt:variant>
        <vt:i4>5</vt:i4>
      </vt:variant>
      <vt:variant>
        <vt:lpwstr>http://ekint.org/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Ligeti Miklós</dc:creator>
  <cp:lastModifiedBy>Novoszádek Nóra</cp:lastModifiedBy>
  <cp:revision>2</cp:revision>
  <cp:lastPrinted>2014-09-21T14:52:00Z</cp:lastPrinted>
  <dcterms:created xsi:type="dcterms:W3CDTF">2014-09-23T15:05:00Z</dcterms:created>
  <dcterms:modified xsi:type="dcterms:W3CDTF">2014-09-23T15:05:00Z</dcterms:modified>
</cp:coreProperties>
</file>