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BDD42" w14:textId="77777777" w:rsidR="006E4D6E" w:rsidRPr="006E4D6E" w:rsidRDefault="006E4D6E" w:rsidP="00A14B4B">
      <w:pPr>
        <w:jc w:val="both"/>
        <w:rPr>
          <w:b/>
        </w:rPr>
      </w:pPr>
      <w:r w:rsidRPr="006E4D6E">
        <w:rPr>
          <w:b/>
        </w:rPr>
        <w:t>Pesti Központi Kerületi Bíróság Szabálysértési Csoport</w:t>
      </w:r>
    </w:p>
    <w:p w14:paraId="4AF32702" w14:textId="77777777" w:rsidR="00DE68D6" w:rsidRPr="006E4D6E" w:rsidRDefault="00DE68D6" w:rsidP="00A14B4B">
      <w:pPr>
        <w:jc w:val="both"/>
      </w:pPr>
      <w:r w:rsidRPr="006E4D6E">
        <w:t>Budapesti Re</w:t>
      </w:r>
      <w:r w:rsidR="00DB067B">
        <w:t>ndőr-főkapitányság</w:t>
      </w:r>
      <w:r w:rsidR="000C3F17">
        <w:t xml:space="preserve"> XIV.</w:t>
      </w:r>
      <w:r w:rsidR="00DB067B">
        <w:t xml:space="preserve"> kerületi R</w:t>
      </w:r>
      <w:r w:rsidRPr="006E4D6E">
        <w:t>endőrkapitányság útján</w:t>
      </w:r>
    </w:p>
    <w:p w14:paraId="6D2C5F20" w14:textId="77777777" w:rsidR="006E4D6E" w:rsidRDefault="006E4D6E" w:rsidP="00A14B4B">
      <w:pPr>
        <w:jc w:val="both"/>
      </w:pPr>
    </w:p>
    <w:p w14:paraId="5A4A41F0" w14:textId="77777777" w:rsidR="006E4D6E" w:rsidRPr="006E4D6E" w:rsidRDefault="006E4D6E" w:rsidP="00A14B4B">
      <w:pPr>
        <w:jc w:val="both"/>
        <w:rPr>
          <w:u w:val="single"/>
        </w:rPr>
      </w:pPr>
      <w:r w:rsidRPr="006E4D6E">
        <w:rPr>
          <w:u w:val="single"/>
        </w:rPr>
        <w:t>tárgy: szabálysértési határozattal szembeni kifogás</w:t>
      </w:r>
    </w:p>
    <w:p w14:paraId="6DD08301" w14:textId="77777777" w:rsidR="006E4D6E" w:rsidRDefault="006E4D6E" w:rsidP="00A14B4B">
      <w:pPr>
        <w:jc w:val="both"/>
      </w:pPr>
    </w:p>
    <w:p w14:paraId="733EB000" w14:textId="77777777" w:rsidR="000C3F17" w:rsidRDefault="000C3F17" w:rsidP="00A14B4B">
      <w:pPr>
        <w:jc w:val="both"/>
      </w:pPr>
      <w:r>
        <w:t xml:space="preserve">ügyszám: </w:t>
      </w:r>
      <w:r w:rsidRPr="000C3F17">
        <w:rPr>
          <w:highlight w:val="yellow"/>
        </w:rPr>
        <w:t>...</w:t>
      </w:r>
    </w:p>
    <w:p w14:paraId="46F2ECE8" w14:textId="77777777" w:rsidR="000C3F17" w:rsidRDefault="000C3F17" w:rsidP="00A14B4B">
      <w:pPr>
        <w:jc w:val="both"/>
      </w:pPr>
    </w:p>
    <w:p w14:paraId="70775253" w14:textId="77777777" w:rsidR="006E4D6E" w:rsidRDefault="006E4D6E" w:rsidP="00A14B4B">
      <w:pPr>
        <w:jc w:val="both"/>
      </w:pPr>
      <w:r>
        <w:t>Tisztelt Bíróság!</w:t>
      </w:r>
    </w:p>
    <w:p w14:paraId="2C9E3663" w14:textId="77777777" w:rsidR="006E4D6E" w:rsidRDefault="006E4D6E" w:rsidP="00A14B4B">
      <w:pPr>
        <w:jc w:val="both"/>
      </w:pPr>
    </w:p>
    <w:p w14:paraId="4C992DBC" w14:textId="77777777" w:rsidR="006E4D6E" w:rsidRPr="00EA617B" w:rsidRDefault="006E4D6E" w:rsidP="006E4D6E">
      <w:pPr>
        <w:jc w:val="both"/>
      </w:pPr>
      <w:r>
        <w:t xml:space="preserve">Alulírott </w:t>
      </w:r>
      <w:r w:rsidR="00904BC5">
        <w:t>[</w:t>
      </w:r>
      <w:r w:rsidR="00904BC5" w:rsidRPr="000C4631">
        <w:rPr>
          <w:highlight w:val="yellow"/>
        </w:rPr>
        <w:t>név</w:t>
      </w:r>
      <w:r w:rsidR="00904BC5">
        <w:t>]</w:t>
      </w:r>
      <w:r>
        <w:t xml:space="preserve"> (</w:t>
      </w:r>
      <w:r w:rsidRPr="00C06E13">
        <w:t xml:space="preserve">lakcíme: </w:t>
      </w:r>
      <w:r w:rsidR="00904BC5" w:rsidRPr="000C4631">
        <w:rPr>
          <w:highlight w:val="yellow"/>
        </w:rPr>
        <w:t>…</w:t>
      </w:r>
      <w:r w:rsidRPr="000C4631">
        <w:rPr>
          <w:highlight w:val="yellow"/>
        </w:rPr>
        <w:t>,</w:t>
      </w:r>
      <w:r>
        <w:t xml:space="preserve"> </w:t>
      </w:r>
      <w:r w:rsidRPr="00C06E13">
        <w:t xml:space="preserve">született: </w:t>
      </w:r>
      <w:r w:rsidR="00904BC5" w:rsidRPr="000C4631">
        <w:rPr>
          <w:highlight w:val="yellow"/>
        </w:rPr>
        <w:t>…</w:t>
      </w:r>
      <w:r w:rsidRPr="000C4631">
        <w:rPr>
          <w:highlight w:val="yellow"/>
        </w:rPr>
        <w:t>,</w:t>
      </w:r>
      <w:r w:rsidRPr="00C06E13">
        <w:t xml:space="preserve"> anyja neve: </w:t>
      </w:r>
      <w:r w:rsidR="00904BC5" w:rsidRPr="000C4631">
        <w:rPr>
          <w:highlight w:val="yellow"/>
        </w:rPr>
        <w:t>…</w:t>
      </w:r>
      <w:r w:rsidRPr="000C4631">
        <w:rPr>
          <w:highlight w:val="yellow"/>
        </w:rPr>
        <w:t>)</w:t>
      </w:r>
      <w:r>
        <w:t xml:space="preserve"> eljárás alá vont személ</w:t>
      </w:r>
      <w:r w:rsidRPr="00EA617B">
        <w:t xml:space="preserve">y a Budapesti Rendőr-főkapitányság </w:t>
      </w:r>
      <w:r w:rsidR="000C3F17">
        <w:t>XI</w:t>
      </w:r>
      <w:r w:rsidRPr="00EA617B">
        <w:t>V. Kerületi Rendőrkapitány</w:t>
      </w:r>
      <w:r w:rsidR="000C3F17">
        <w:t>ság mint Szabálysértési Hatóság</w:t>
      </w:r>
      <w:r w:rsidRPr="00EA617B">
        <w:t xml:space="preserve"> </w:t>
      </w:r>
      <w:r w:rsidR="000C4631" w:rsidRPr="000C4631">
        <w:rPr>
          <w:highlight w:val="yellow"/>
        </w:rPr>
        <w:t>…</w:t>
      </w:r>
      <w:r w:rsidRPr="000C4631">
        <w:rPr>
          <w:highlight w:val="yellow"/>
        </w:rPr>
        <w:t>.</w:t>
      </w:r>
      <w:r w:rsidRPr="00EA617B">
        <w:t xml:space="preserve"> </w:t>
      </w:r>
      <w:proofErr w:type="spellStart"/>
      <w:r w:rsidRPr="00EA617B">
        <w:t>szabs</w:t>
      </w:r>
      <w:proofErr w:type="spellEnd"/>
      <w:r w:rsidRPr="00EA617B">
        <w:t>. számú határozata ellen, törvényes határidőben az alábbi</w:t>
      </w:r>
    </w:p>
    <w:p w14:paraId="2B7C60DC" w14:textId="77777777" w:rsidR="006E4D6E" w:rsidRPr="00E201C4" w:rsidRDefault="006E4D6E" w:rsidP="006E4D6E">
      <w:pPr>
        <w:jc w:val="center"/>
        <w:rPr>
          <w:b/>
        </w:rPr>
      </w:pPr>
      <w:r>
        <w:rPr>
          <w:b/>
        </w:rPr>
        <w:t>kifogást</w:t>
      </w:r>
    </w:p>
    <w:p w14:paraId="5D9CB069" w14:textId="77777777" w:rsidR="006E4D6E" w:rsidRDefault="00EA617B" w:rsidP="00EA617B">
      <w:pPr>
        <w:jc w:val="both"/>
      </w:pPr>
      <w:r>
        <w:t xml:space="preserve">terjesztem elő a szabálysértésekről, a szabálysértési eljárásról és a szabálysértési nyilvántartási rendszerről szóló 2012. évi II. törvény </w:t>
      </w:r>
      <w:r w:rsidR="00CE266F">
        <w:t>(</w:t>
      </w:r>
      <w:proofErr w:type="spellStart"/>
      <w:r w:rsidR="00CE266F">
        <w:t>Szabstv</w:t>
      </w:r>
      <w:proofErr w:type="spellEnd"/>
      <w:r w:rsidR="00CE266F">
        <w:t xml:space="preserve">.) </w:t>
      </w:r>
      <w:r>
        <w:t>105. § alapján.</w:t>
      </w:r>
    </w:p>
    <w:p w14:paraId="5F2899D7" w14:textId="018F102D" w:rsidR="00CE266F" w:rsidRPr="00CE266F" w:rsidRDefault="00CE266F" w:rsidP="00E82455">
      <w:pPr>
        <w:jc w:val="both"/>
        <w:rPr>
          <w:b/>
        </w:rPr>
      </w:pPr>
      <w:r w:rsidRPr="00CE266F">
        <w:rPr>
          <w:b/>
        </w:rPr>
        <w:t xml:space="preserve">Kérem a tisztelt Bíróságot, hogy a szabálysértési hatóság határozatát a </w:t>
      </w:r>
      <w:proofErr w:type="spellStart"/>
      <w:r w:rsidRPr="00CE266F">
        <w:rPr>
          <w:b/>
        </w:rPr>
        <w:t>Szabstv</w:t>
      </w:r>
      <w:proofErr w:type="spellEnd"/>
      <w:r w:rsidRPr="00CE266F">
        <w:rPr>
          <w:b/>
        </w:rPr>
        <w:t>. 116. § (1) bekezdés c) pont alapján változtassa meg és állapítsa meg, hogy az eljárás alá vont szem</w:t>
      </w:r>
      <w:r w:rsidR="001817EA">
        <w:rPr>
          <w:b/>
        </w:rPr>
        <w:t xml:space="preserve">ély nem követte el a </w:t>
      </w:r>
      <w:proofErr w:type="spellStart"/>
      <w:r w:rsidR="001817EA">
        <w:rPr>
          <w:b/>
        </w:rPr>
        <w:t>Szabstv</w:t>
      </w:r>
      <w:proofErr w:type="spellEnd"/>
      <w:r w:rsidR="001817EA">
        <w:rPr>
          <w:b/>
        </w:rPr>
        <w:t>. 2</w:t>
      </w:r>
      <w:r w:rsidRPr="00CE266F">
        <w:rPr>
          <w:b/>
        </w:rPr>
        <w:t>16. § szerinti jogszerű intézkedéssel szembeni engedetlenség szabálysértését</w:t>
      </w:r>
      <w:r w:rsidR="00E82455">
        <w:rPr>
          <w:b/>
        </w:rPr>
        <w:t xml:space="preserve">! Másodlagosan azt kérem, hogy a tisztelt Bíróság </w:t>
      </w:r>
      <w:r w:rsidR="00291C72" w:rsidRPr="00E82455">
        <w:rPr>
          <w:b/>
        </w:rPr>
        <w:t>pénzb</w:t>
      </w:r>
      <w:r w:rsidR="00291C72">
        <w:rPr>
          <w:b/>
        </w:rPr>
        <w:t>írság</w:t>
      </w:r>
      <w:r w:rsidR="00E82455" w:rsidRPr="00E82455">
        <w:rPr>
          <w:b/>
        </w:rPr>
        <w:t xml:space="preserve"> kiszabása helyett intézkedésként figyelmeztetést alkalmazzon</w:t>
      </w:r>
      <w:r w:rsidR="00E82455">
        <w:rPr>
          <w:b/>
        </w:rPr>
        <w:t>! H</w:t>
      </w:r>
      <w:r w:rsidR="00E82455" w:rsidRPr="00E82455">
        <w:rPr>
          <w:b/>
        </w:rPr>
        <w:t xml:space="preserve">armadlagosan </w:t>
      </w:r>
      <w:r w:rsidR="00E82455">
        <w:rPr>
          <w:b/>
        </w:rPr>
        <w:t xml:space="preserve">azt </w:t>
      </w:r>
      <w:r w:rsidR="00E82455" w:rsidRPr="00E82455">
        <w:rPr>
          <w:b/>
        </w:rPr>
        <w:t>kérem, h</w:t>
      </w:r>
      <w:bookmarkStart w:id="0" w:name="_GoBack"/>
      <w:bookmarkEnd w:id="0"/>
      <w:r w:rsidR="00E82455" w:rsidRPr="00E82455">
        <w:rPr>
          <w:b/>
        </w:rPr>
        <w:t xml:space="preserve">ogy a </w:t>
      </w:r>
      <w:r w:rsidR="00E82455">
        <w:rPr>
          <w:b/>
        </w:rPr>
        <w:t xml:space="preserve">tisztelt Bíróság a </w:t>
      </w:r>
      <w:r w:rsidR="00E82455" w:rsidRPr="00E82455">
        <w:rPr>
          <w:b/>
        </w:rPr>
        <w:t>kiszabott pén</w:t>
      </w:r>
      <w:r w:rsidR="00E82455">
        <w:rPr>
          <w:b/>
        </w:rPr>
        <w:t>zbírságot csökkentse!</w:t>
      </w:r>
    </w:p>
    <w:p w14:paraId="33A2A3F3" w14:textId="77777777" w:rsidR="006E4D6E" w:rsidRDefault="006E4D6E" w:rsidP="00A14B4B">
      <w:pPr>
        <w:jc w:val="both"/>
      </w:pPr>
    </w:p>
    <w:p w14:paraId="017868C3" w14:textId="77777777" w:rsidR="00CE266F" w:rsidRPr="00CE266F" w:rsidRDefault="00CE266F" w:rsidP="00A14B4B">
      <w:pPr>
        <w:jc w:val="both"/>
        <w:rPr>
          <w:i/>
        </w:rPr>
      </w:pPr>
      <w:r w:rsidRPr="00CE266F">
        <w:rPr>
          <w:i/>
        </w:rPr>
        <w:t>A kifogás indokai</w:t>
      </w:r>
    </w:p>
    <w:p w14:paraId="0357BF42" w14:textId="77777777" w:rsidR="00EC0D89" w:rsidRDefault="00EC0D89" w:rsidP="00A14B4B">
      <w:pPr>
        <w:jc w:val="both"/>
      </w:pPr>
      <w:r>
        <w:t xml:space="preserve">2016. június 28-án </w:t>
      </w:r>
      <w:r w:rsidR="00CE266F">
        <w:t xml:space="preserve">a </w:t>
      </w:r>
      <w:r w:rsidR="000C3F17">
        <w:t>Közlekedési Múzeum parkolójában, a</w:t>
      </w:r>
      <w:r w:rsidR="00310743">
        <w:t>z ott részben bejelentés alapján, részben – a</w:t>
      </w:r>
      <w:r w:rsidR="000C3F17">
        <w:t xml:space="preserve"> parkoló szabaddá válása nyomán </w:t>
      </w:r>
      <w:r w:rsidR="00310743">
        <w:t xml:space="preserve">– </w:t>
      </w:r>
      <w:r w:rsidR="000C3F17">
        <w:t xml:space="preserve">spontán és békés tiltakozás résztvevőjeként </w:t>
      </w:r>
      <w:r w:rsidR="00207050">
        <w:t>az Alaptörvény VIII. cikk (1) bekezdésében biztosított békés gyülekezéshez való jog</w:t>
      </w:r>
      <w:r>
        <w:t>omat</w:t>
      </w:r>
      <w:r w:rsidR="00207050">
        <w:t xml:space="preserve"> gyakorol</w:t>
      </w:r>
      <w:r>
        <w:t xml:space="preserve">va tiltakoztam a Városligetbe tervezett munkálatok elkezdése </w:t>
      </w:r>
      <w:commentRangeStart w:id="1"/>
      <w:r>
        <w:t>ellen</w:t>
      </w:r>
      <w:commentRangeEnd w:id="1"/>
      <w:r>
        <w:rPr>
          <w:rStyle w:val="CommentReference"/>
        </w:rPr>
        <w:commentReference w:id="1"/>
      </w:r>
      <w:r>
        <w:t>.</w:t>
      </w:r>
    </w:p>
    <w:p w14:paraId="58510637" w14:textId="52F01523" w:rsidR="009711E3" w:rsidRDefault="00EC0D89" w:rsidP="00A14B4B">
      <w:pPr>
        <w:jc w:val="both"/>
      </w:pPr>
      <w:r>
        <w:t>A tiltakozást a rendőrség a gyülekezési jogról szóló 1989. évi III. törvény (</w:t>
      </w:r>
      <w:proofErr w:type="spellStart"/>
      <w:r>
        <w:t>Gytv</w:t>
      </w:r>
      <w:proofErr w:type="spellEnd"/>
      <w:r>
        <w:t xml:space="preserve">.) alapján feloszlatta, mondván, hogy a tiltakozás a </w:t>
      </w:r>
      <w:proofErr w:type="spellStart"/>
      <w:r>
        <w:t>Gytv</w:t>
      </w:r>
      <w:proofErr w:type="spellEnd"/>
      <w:r>
        <w:t xml:space="preserve">. 2. § (3) bekezdése szerint mások jogait sérti, és elveszítette békés jellegét. </w:t>
      </w:r>
      <w:r w:rsidR="00CC0E71">
        <w:t xml:space="preserve">Mivel a helyszín elhagyására vonatkozó rendőri felszólításnak nem engedelmeskedtem, a rendőrség testi kényszer alkalmazásával távolítottak el a tiltakozásom helyéről, a fenti ügyszámú határozattal pedig megállapította a felelősségemet a jogszerű intézkedéssel szembeni engedetlenség szabálysértésének elkövetése miatt. </w:t>
      </w:r>
    </w:p>
    <w:p w14:paraId="3CDCDB89" w14:textId="664E0D30" w:rsidR="001817EA" w:rsidRDefault="00C0315E" w:rsidP="00F24830">
      <w:pPr>
        <w:jc w:val="both"/>
      </w:pPr>
      <w:r>
        <w:t>A rendezvény feloszlatásának jogszerűsége önálló, külön eljárásra tartozik. F</w:t>
      </w:r>
      <w:r w:rsidR="00F8418E">
        <w:t xml:space="preserve">eltéve, de meg nem engedve, hogy a rendezvény feloszlatása jogszerű, illetve hogy annak végrehajtása szabályszerű </w:t>
      </w:r>
      <w:r w:rsidR="00F32C93">
        <w:t xml:space="preserve">és szakszerű </w:t>
      </w:r>
      <w:r w:rsidR="00F8418E">
        <w:t xml:space="preserve">volt, </w:t>
      </w:r>
      <w:r w:rsidR="00A96EDC" w:rsidRPr="006E4D6E">
        <w:t>a</w:t>
      </w:r>
      <w:r w:rsidR="00BD4C89">
        <w:t xml:space="preserve"> jogszerű intézkedéssel szembeni engedetlenség szabálysértésének megállapítása a gyülekezési szabadság </w:t>
      </w:r>
      <w:r w:rsidR="001817EA">
        <w:t xml:space="preserve">további </w:t>
      </w:r>
      <w:r w:rsidR="00BD4C89">
        <w:t xml:space="preserve">korlátozását jelenti. </w:t>
      </w:r>
      <w:r w:rsidR="001817EA">
        <w:t>A</w:t>
      </w:r>
      <w:r w:rsidR="00383D47">
        <w:t xml:space="preserve"> gyülekezési jog gyakorlását egyszer korlátozza a rendőrség azzal, hogy a rendezvény</w:t>
      </w:r>
      <w:r w:rsidR="001817EA">
        <w:t>t</w:t>
      </w:r>
      <w:r w:rsidR="00383D47">
        <w:t xml:space="preserve"> feloszlatja („felfüggeszti”, ideiglenesen eltávolítja a helyszínről a résztvevőket</w:t>
      </w:r>
      <w:r w:rsidR="001817EA">
        <w:t>, kiüríti a teret</w:t>
      </w:r>
      <w:r w:rsidR="00383D47">
        <w:t xml:space="preserve">). </w:t>
      </w:r>
      <w:r w:rsidR="001817EA">
        <w:t xml:space="preserve">Ekkor minden résztvevő jogát egyaránt korlátozza. </w:t>
      </w:r>
      <w:r w:rsidR="00383D47">
        <w:t xml:space="preserve">Ehhez képest </w:t>
      </w:r>
      <w:r w:rsidR="001817EA">
        <w:t xml:space="preserve">pedig </w:t>
      </w:r>
      <w:r w:rsidR="00383D47">
        <w:lastRenderedPageBreak/>
        <w:t>további korlátozást valósít meg a</w:t>
      </w:r>
      <w:r w:rsidR="001817EA">
        <w:t>z egyes</w:t>
      </w:r>
      <w:r w:rsidR="00383D47">
        <w:t xml:space="preserve"> résztvevőkkel szemben a rendőrség akkor, amikor szabálysértési eljárást is indít a résztvevőkkel szemben</w:t>
      </w:r>
      <w:r w:rsidR="001817EA">
        <w:t xml:space="preserve"> az engedetlenség miatt</w:t>
      </w:r>
      <w:r w:rsidR="00383D47">
        <w:t xml:space="preserve">. </w:t>
      </w:r>
    </w:p>
    <w:p w14:paraId="7FDEF972" w14:textId="77777777" w:rsidR="00383D47" w:rsidRDefault="00383D47" w:rsidP="00F24830">
      <w:pPr>
        <w:jc w:val="both"/>
      </w:pPr>
      <w:r>
        <w:t>A rendezvény feloszlatásának inherens eleme az, hogy a résztvevők a rendőri felszólításnak önként nem tesznek eleget, és ezért a rendőrségnek kényszerítő eszközt kell alkalmaznia a feloszlatás foganatosítása véget</w:t>
      </w:r>
      <w:r w:rsidR="00C9619C">
        <w:t>t</w:t>
      </w:r>
      <w:r w:rsidR="00BC55E2">
        <w:t>: ha a résztvevők engedelmeskednének, akkor nem kellene kényszerítő eszközökkel érvényt szerezni a feloszlatásnak</w:t>
      </w:r>
      <w:r>
        <w:t>. A rendezvény feloszlatását az igazolja, hogy a rendőrség a rendezvény folytatását törvénysértőnek ítéli</w:t>
      </w:r>
      <w:r w:rsidR="00BC55E2">
        <w:t>, és</w:t>
      </w:r>
      <w:r>
        <w:t xml:space="preserve"> a törvénysértővé válás következménye </w:t>
      </w:r>
      <w:r w:rsidR="00BC55E2">
        <w:t>a feloszlatás,</w:t>
      </w:r>
      <w:r>
        <w:t xml:space="preserve"> a gyülekezési szabadság gyakorlásá</w:t>
      </w:r>
      <w:r w:rsidR="00BC55E2">
        <w:t>nak</w:t>
      </w:r>
      <w:r>
        <w:t xml:space="preserve"> súlyos korlátozás</w:t>
      </w:r>
      <w:r w:rsidR="00BC55E2">
        <w:t>a</w:t>
      </w:r>
      <w:r>
        <w:t xml:space="preserve">. </w:t>
      </w:r>
      <w:r w:rsidR="003E21F4">
        <w:t xml:space="preserve">Ám azután, hogy a rendőrség véget vetett a rendezvény folytatódásának, adott esetben kényszerítő eszköz alkalmazásával, nincs indoka annak, hogy további szankciókat alkalmazzon és még </w:t>
      </w:r>
      <w:proofErr w:type="spellStart"/>
      <w:r w:rsidR="003E21F4">
        <w:t>pönalizálja</w:t>
      </w:r>
      <w:proofErr w:type="spellEnd"/>
      <w:r w:rsidR="003E21F4">
        <w:t xml:space="preserve"> i</w:t>
      </w:r>
      <w:r w:rsidR="000B38CD">
        <w:t>s azokat a résztvevőket, akik</w:t>
      </w:r>
      <w:r w:rsidR="003E21F4">
        <w:t xml:space="preserve"> már egyszer elszenvedői voltak a rendezvény feloszlatásának</w:t>
      </w:r>
      <w:r w:rsidR="00BC55E2">
        <w:t>, és ez</w:t>
      </w:r>
      <w:r w:rsidR="000B38CD">
        <w:t xml:space="preserve">zel </w:t>
      </w:r>
      <w:r w:rsidR="003E21F4">
        <w:t>gyülekezési joguk korlátozásának.</w:t>
      </w:r>
    </w:p>
    <w:p w14:paraId="28149316" w14:textId="77777777" w:rsidR="009B551E" w:rsidRDefault="001817EA" w:rsidP="00A14B4B">
      <w:pPr>
        <w:jc w:val="both"/>
      </w:pPr>
      <w:r>
        <w:t>Az Alaptörvény I. cikk</w:t>
      </w:r>
      <w:r w:rsidR="00377E4B">
        <w:t>e szerint az</w:t>
      </w:r>
      <w:r w:rsidR="00377E4B" w:rsidRPr="00377E4B">
        <w:t xml:space="preserve"> alapvető jog</w:t>
      </w:r>
      <w:r w:rsidR="00377E4B">
        <w:t>ok</w:t>
      </w:r>
      <w:r w:rsidR="00377E4B" w:rsidRPr="00377E4B">
        <w:t xml:space="preserve"> tiszteletben </w:t>
      </w:r>
      <w:r w:rsidR="00377E4B">
        <w:t xml:space="preserve">tartása és védelme </w:t>
      </w:r>
      <w:r w:rsidR="00377E4B" w:rsidRPr="00377E4B">
        <w:t>az állam elsőrendű kötelezettsége</w:t>
      </w:r>
      <w:r w:rsidR="00377E4B">
        <w:t xml:space="preserve">, és az ilyen jogok </w:t>
      </w:r>
      <w:r>
        <w:t>csak a feltétlenül szükséges mértékben, az elérni kívánt céllal arányosan, az alapvető jog lényeges tartalmának tiszteletben tartásával korlátozható</w:t>
      </w:r>
      <w:r w:rsidR="00377E4B">
        <w:t xml:space="preserve">k. E feltételek hiányában a gyülekezési jog korlátozása </w:t>
      </w:r>
      <w:r>
        <w:t>nem igazolható.</w:t>
      </w:r>
      <w:r w:rsidR="00653FE6">
        <w:t xml:space="preserve"> </w:t>
      </w:r>
      <w:r w:rsidR="009B551E" w:rsidRPr="009B551E">
        <w:t xml:space="preserve">Az Alkotmánybíróság a 75/2008. AB határozatban kimondja, hogy az Alkotmány 62. § (1) bekezdésében elismert gyülekezési jog </w:t>
      </w:r>
      <w:r w:rsidR="009B551E">
        <w:t>–</w:t>
      </w:r>
      <w:r w:rsidR="009B551E" w:rsidRPr="009B551E">
        <w:t xml:space="preserve"> csakúgy, mint a gondolat, a lelkiismeret és a vallás szabadsága </w:t>
      </w:r>
      <w:r w:rsidR="009B551E">
        <w:t>–</w:t>
      </w:r>
      <w:r w:rsidR="009B551E" w:rsidRPr="009B551E">
        <w:t xml:space="preserve"> szorosan kapcsolódik a véleménynyilvánítás szabadságához [30/1992. (V. 26.) AB határozat, ABH 1992, 167,</w:t>
      </w:r>
      <w:r w:rsidR="009B551E">
        <w:t xml:space="preserve"> 171.].</w:t>
      </w:r>
    </w:p>
    <w:p w14:paraId="4E91C987" w14:textId="41E3B227" w:rsidR="00104D44" w:rsidRDefault="00262D3E" w:rsidP="00A14B4B">
      <w:pPr>
        <w:jc w:val="both"/>
      </w:pPr>
      <w:r>
        <w:t>Fontos leszögezni, hogy a jelen esetben az eljárás alá vont személy – mint ahogyan a rendezvény többi résztvevője – semmiféle erőszakos magatartást nem tanúsított</w:t>
      </w:r>
      <w:r w:rsidR="003A795F">
        <w:t>. A</w:t>
      </w:r>
      <w:r>
        <w:t xml:space="preserve"> rendezvény feloszlatására sem ilyen okból került sor</w:t>
      </w:r>
      <w:r w:rsidR="003A795F">
        <w:t>, hanem azért, hogy a rendőrség érvényt szerezzen egy</w:t>
      </w:r>
      <w:r w:rsidR="00C0315E">
        <w:t xml:space="preserve"> állítólagos</w:t>
      </w:r>
      <w:r w:rsidR="003A795F">
        <w:t xml:space="preserve"> </w:t>
      </w:r>
      <w:r w:rsidR="00C0315E">
        <w:t>–</w:t>
      </w:r>
      <w:r w:rsidR="00104D44">
        <w:t xml:space="preserve"> </w:t>
      </w:r>
      <w:r w:rsidR="00C0315E">
        <w:t>bíróság által jogerősen még meg nem állapított – gazdasági jellegű, magánjogi jogosultságnak</w:t>
      </w:r>
      <w:r>
        <w:t xml:space="preserve">. </w:t>
      </w:r>
      <w:r w:rsidR="00104D44">
        <w:t>Ugyanakkor a</w:t>
      </w:r>
      <w:r w:rsidR="00377E4B">
        <w:t xml:space="preserve">z </w:t>
      </w:r>
      <w:r w:rsidR="00104D44">
        <w:t>én</w:t>
      </w:r>
      <w:r w:rsidR="00377E4B">
        <w:t xml:space="preserve"> magatartás</w:t>
      </w:r>
      <w:r w:rsidR="00104D44">
        <w:t>om</w:t>
      </w:r>
      <w:r w:rsidR="00377E4B">
        <w:t xml:space="preserve"> </w:t>
      </w:r>
      <w:r w:rsidR="00104D44">
        <w:t xml:space="preserve">az Alaptörvényben biztosított alapjog békés, erőszakmentes gyakorlását valósította meg, ami </w:t>
      </w:r>
      <w:r w:rsidR="00377E4B">
        <w:t>senkinek a</w:t>
      </w:r>
      <w:r w:rsidR="00104D44">
        <w:t>z alanyi</w:t>
      </w:r>
      <w:r w:rsidR="00377E4B">
        <w:t xml:space="preserve"> </w:t>
      </w:r>
      <w:r w:rsidR="0099678A">
        <w:t>alap</w:t>
      </w:r>
      <w:r w:rsidR="00377E4B">
        <w:t>jogait és szabadságát nem v</w:t>
      </w:r>
      <w:r w:rsidR="00104D44">
        <w:t>eszélyeztette.</w:t>
      </w:r>
    </w:p>
    <w:p w14:paraId="385B7275" w14:textId="49ED0DE5" w:rsidR="009B551E" w:rsidRDefault="009B551E" w:rsidP="00A14B4B">
      <w:pPr>
        <w:jc w:val="both"/>
      </w:pPr>
      <w:r>
        <w:t>A</w:t>
      </w:r>
      <w:r w:rsidRPr="009B551E">
        <w:t xml:space="preserve"> </w:t>
      </w:r>
      <w:proofErr w:type="spellStart"/>
      <w:r w:rsidRPr="009B551E">
        <w:t>Sz</w:t>
      </w:r>
      <w:r>
        <w:t>abs</w:t>
      </w:r>
      <w:r w:rsidRPr="009B551E">
        <w:t>tv</w:t>
      </w:r>
      <w:proofErr w:type="spellEnd"/>
      <w:r w:rsidRPr="009B551E">
        <w:t>. 1. § (1) bekezdése szerint a szabálysértés fogalmi eleme a tevékenység vagy mulasztás társadalomra való veszélyessége. Az alaki jogel</w:t>
      </w:r>
      <w:r>
        <w:t>lenesség szerint az eljárás alá vont személy szabálysértési normában rögzített cselekvési vagy</w:t>
      </w:r>
      <w:r w:rsidRPr="009B551E">
        <w:t xml:space="preserve"> mag</w:t>
      </w:r>
      <w:r>
        <w:t>atartási formától való tartózkodási kötelezettségét megszegi. Ennek vizsgálata az</w:t>
      </w:r>
      <w:r w:rsidRPr="009B551E">
        <w:t xml:space="preserve"> objektív tényállási elemek értékelésével végezhető el. Az alaki jogel</w:t>
      </w:r>
      <w:r>
        <w:t>lenesség azonban nem ad választ arra, hogy miért nyilvánít a jogalkotó egy cselekményt</w:t>
      </w:r>
      <w:r w:rsidRPr="009B551E">
        <w:t xml:space="preserve"> jog</w:t>
      </w:r>
      <w:r>
        <w:t>ellenessé, illetve, hogy ennek az indoknak a konkrét esetben történő igazolhatósága fennáll-e. Ezt a materiális jogellenesség vizsgálata után lehet megnyugtatóan rendezni, ez</w:t>
      </w:r>
      <w:r w:rsidRPr="009B551E">
        <w:t xml:space="preserve"> biztosítja </w:t>
      </w:r>
      <w:r>
        <w:t>ugyanis, hogy az alaki jogellenesség</w:t>
      </w:r>
      <w:r w:rsidRPr="009B551E">
        <w:t xml:space="preserve"> tartalmi</w:t>
      </w:r>
      <w:r>
        <w:t xml:space="preserve"> elemeinek indoka és a tételes jog alkalmazása igazolva van. A</w:t>
      </w:r>
      <w:r w:rsidRPr="009B551E">
        <w:t xml:space="preserve"> </w:t>
      </w:r>
      <w:proofErr w:type="spellStart"/>
      <w:r w:rsidRPr="009B551E">
        <w:t>Sz</w:t>
      </w:r>
      <w:r>
        <w:t>abstv</w:t>
      </w:r>
      <w:proofErr w:type="spellEnd"/>
      <w:r>
        <w:t>. dogmatikai rendszerében a materiális jogellenesség a társadalomra veszélyesség vizsgálatát jelenti. A</w:t>
      </w:r>
      <w:r w:rsidRPr="009B551E">
        <w:t xml:space="preserve"> társadalomra veszélyesség nem más, mint a kodifikált materiális jogellenesség, amelynek hiányában nem állapítható meg szabálysértés. A szabálysértés nem önmagában, hanem a védett jogi tárgyra való kihatásában veszélyes a társadalomra. A társadalomra veszélyesség jellegét és fokát alapvetően a támadott jogtárgy jelentősége és az</w:t>
      </w:r>
      <w:r w:rsidR="003A795F">
        <w:t xml:space="preserve"> azt ért sérelem foka határozza</w:t>
      </w:r>
      <w:r w:rsidRPr="009B551E">
        <w:t xml:space="preserve"> meg. </w:t>
      </w:r>
      <w:r w:rsidR="003A795F">
        <w:t>Mivel az eljárás alá vont személy materiális értelemben jogsértést nem követett el, nem valósult</w:t>
      </w:r>
      <w:r w:rsidRPr="009B551E">
        <w:t xml:space="preserve"> meg szabálysértés, ezért szankció alkalmazásának nincsen helye</w:t>
      </w:r>
      <w:r w:rsidR="003A795F">
        <w:t>.</w:t>
      </w:r>
    </w:p>
    <w:p w14:paraId="2742C693" w14:textId="77777777" w:rsidR="00262D3E" w:rsidRDefault="009B551E" w:rsidP="00A14B4B">
      <w:pPr>
        <w:jc w:val="both"/>
      </w:pPr>
      <w:r>
        <w:t xml:space="preserve">Ezt megerősíti az Emberi Jogok Európai Bíróságának egységes ítélkezési gyakorlata is, mely szerint </w:t>
      </w:r>
      <w:r w:rsidR="00377E4B" w:rsidRPr="00377E4B">
        <w:t>amennyiben a demonstrálók nem hajtanak végre erőszakos cselekményeket, fontos, hogy a hatóságok bizonyos fokú türelmet tanúsítsanak a békés célú gyülekezésekkel szemben annak ér</w:t>
      </w:r>
      <w:r w:rsidR="00377E4B">
        <w:t xml:space="preserve">dekében, hogy a </w:t>
      </w:r>
      <w:r w:rsidR="00377E4B" w:rsidRPr="00377E4B">
        <w:t>gyülekezési szabadságot ne fosszák meg</w:t>
      </w:r>
      <w:r w:rsidR="00377E4B">
        <w:t xml:space="preserve"> lényegi tartalmától.</w:t>
      </w:r>
      <w:r w:rsidR="00377E4B" w:rsidRPr="00377E4B">
        <w:t xml:space="preserve"> </w:t>
      </w:r>
      <w:r w:rsidR="00262D3E">
        <w:t xml:space="preserve">Ezért az államnak nemcsak attól kell tartózkodnia, hogy közvetlen intézkedésekkel korlátozza a gyülekezési jog </w:t>
      </w:r>
      <w:r w:rsidR="00262D3E">
        <w:lastRenderedPageBreak/>
        <w:t>gyakorlását, hanem attól is, hogy közvetett terheket rójon a jog gyakorlóira (</w:t>
      </w:r>
      <w:proofErr w:type="spellStart"/>
      <w:r w:rsidR="00262D3E">
        <w:t>Oya</w:t>
      </w:r>
      <w:proofErr w:type="spellEnd"/>
      <w:r w:rsidR="00262D3E">
        <w:t xml:space="preserve"> </w:t>
      </w:r>
      <w:proofErr w:type="spellStart"/>
      <w:r w:rsidR="00262D3E">
        <w:t>Ataman</w:t>
      </w:r>
      <w:proofErr w:type="spellEnd"/>
      <w:r w:rsidR="00262D3E">
        <w:t xml:space="preserve"> v. </w:t>
      </w:r>
      <w:proofErr w:type="spellStart"/>
      <w:r w:rsidR="00262D3E">
        <w:t>Turkey</w:t>
      </w:r>
      <w:proofErr w:type="spellEnd"/>
      <w:r w:rsidR="00262D3E">
        <w:t xml:space="preserve">, </w:t>
      </w:r>
      <w:r w:rsidR="00262D3E" w:rsidRPr="00262D3E">
        <w:t>74552/01</w:t>
      </w:r>
      <w:r w:rsidR="00262D3E">
        <w:t>, 36.</w:t>
      </w:r>
      <w:r w:rsidR="00377E4B">
        <w:t>, 41-42</w:t>
      </w:r>
      <w:r w:rsidR="00262D3E">
        <w:t>)</w:t>
      </w:r>
    </w:p>
    <w:p w14:paraId="47C8C799" w14:textId="77777777" w:rsidR="00E82455" w:rsidRDefault="00E82455" w:rsidP="00A14B4B">
      <w:pPr>
        <w:jc w:val="both"/>
      </w:pPr>
    </w:p>
    <w:p w14:paraId="7C9E1C62" w14:textId="77777777" w:rsidR="00E82455" w:rsidRDefault="00E82455" w:rsidP="00E82455">
      <w:pPr>
        <w:jc w:val="both"/>
      </w:pPr>
      <w:r>
        <w:t xml:space="preserve">Amennyiben a tisztelt Bíróság nem fogadja el a fent kifejtett érveket, úgy másodlagosan kérem, hogy pénzbüntetés helyett figyelmeztetést alkalmazzon. A </w:t>
      </w:r>
      <w:proofErr w:type="spellStart"/>
      <w:r>
        <w:t>Szabstv</w:t>
      </w:r>
      <w:proofErr w:type="spellEnd"/>
      <w:r>
        <w:t xml:space="preserve">. 20. § (1) bekezdése szerint figyelmeztetés alkalmazásának akkor van helye, ha a szabálysértés az elkövetés körülményeire tekintettel csekély súlyú és ettől az intézkedéstől kellő visszatartó hatás várható. A figyelmeztetéssel a szabálysértési hatóság, illetve a bíróság a rosszallását fejezi ki és felhívja az eljárás alá vont személyt arra, hogy a jövőben tartózkodjon szabálysértés elkövetésétől. A </w:t>
      </w:r>
      <w:proofErr w:type="spellStart"/>
      <w:r>
        <w:t>Szabstv</w:t>
      </w:r>
      <w:proofErr w:type="spellEnd"/>
      <w:r>
        <w:t xml:space="preserve">. indokolása szerint a figyelmeztetés az </w:t>
      </w:r>
      <w:proofErr w:type="spellStart"/>
      <w:r>
        <w:t>opportunitás</w:t>
      </w:r>
      <w:proofErr w:type="spellEnd"/>
      <w:r>
        <w:t xml:space="preserve"> eszköze, a jogsértés súlytalansága esetén büntetés helyett alkalmazható, rosszallást kifejező, nevelő jellegű intézkedés, amely rámutat az adott jogsértés helytelen voltára és egyben felhívja az eljárás alá vont személy figyelmét arra, hogy a jövőben tartózkodjon a hasonló cselekményektől. A törvény ugyan nem ad részletes szempontokat az intézkedés alkalmazásához, de utal arra, hogy mind a cselekménnyel (tárgyi körülmények), mind pedig az eljárás alá vont személlyel összefüggő (alanyi körülmények) tényezőket mérlegre kell tennie a jogalkalmazónak, ha lemond a büntetés alkalmazásáról. A </w:t>
      </w:r>
      <w:proofErr w:type="spellStart"/>
      <w:r>
        <w:t>Szabstv</w:t>
      </w:r>
      <w:proofErr w:type="spellEnd"/>
      <w:r>
        <w:t>. 21. § szerint a büntetést és az intézkedést úgy kell megállapítani, hogy igazodjék a szabálysértés súlyához. Az eljárás alá vont személy személyi körülményeit annyiban kell figyelembe venni, amennyiben azok a szabálysértési hatóság vagy a bíróság rendelkezésére álló adatokból megállapíthatóak</w:t>
      </w:r>
    </w:p>
    <w:p w14:paraId="58B3D9B4" w14:textId="0DB8CC1B" w:rsidR="00E82455" w:rsidRDefault="00E82455" w:rsidP="00E82455">
      <w:pPr>
        <w:jc w:val="both"/>
      </w:pPr>
      <w:r>
        <w:t>Ha a tisztelt Bíróság ezeket a megfontolásokat sem osztja, akkor harmadlagosan azt kérem, hogy csökkentse a kiszabott pénzb</w:t>
      </w:r>
      <w:r w:rsidR="00E01350">
        <w:t>írság</w:t>
      </w:r>
      <w:r>
        <w:t xml:space="preserve"> mértékét!</w:t>
      </w:r>
      <w:r w:rsidR="00DF50A6">
        <w:t xml:space="preserve"> </w:t>
      </w:r>
      <w:r w:rsidR="00A32A17">
        <w:t>A</w:t>
      </w:r>
      <w:r w:rsidR="00DF50A6" w:rsidRPr="00DF50A6">
        <w:t xml:space="preserve"> pénzbírság mértékének csökkentésével a bíróság kifejezésre</w:t>
      </w:r>
      <w:r w:rsidR="00A32A17">
        <w:t xml:space="preserve"> </w:t>
      </w:r>
      <w:r w:rsidR="00A32A17" w:rsidRPr="00DF50A6">
        <w:t>juttathat</w:t>
      </w:r>
      <w:r w:rsidR="00A32A17">
        <w:t xml:space="preserve">ja annak </w:t>
      </w:r>
      <w:r w:rsidR="00DF50A6" w:rsidRPr="00DF50A6">
        <w:t>figyelembe v</w:t>
      </w:r>
      <w:r w:rsidR="00A32A17">
        <w:t>ételét</w:t>
      </w:r>
      <w:r w:rsidR="00DF50A6" w:rsidRPr="00DF50A6">
        <w:t>, hogy a bírság egy politikai szabadságjog gyakorlásával összefüggésben került kiszabásra.</w:t>
      </w:r>
    </w:p>
    <w:p w14:paraId="06B3C335" w14:textId="77777777" w:rsidR="00E82455" w:rsidRPr="006E4D6E" w:rsidRDefault="00E82455" w:rsidP="00E82455">
      <w:pPr>
        <w:jc w:val="both"/>
      </w:pPr>
    </w:p>
    <w:p w14:paraId="3954828D" w14:textId="77777777" w:rsidR="00DE68D6" w:rsidRDefault="00DE68D6" w:rsidP="00A14B4B">
      <w:pPr>
        <w:jc w:val="both"/>
      </w:pPr>
      <w:r w:rsidRPr="006E4D6E">
        <w:t xml:space="preserve">A </w:t>
      </w:r>
      <w:proofErr w:type="spellStart"/>
      <w:r w:rsidRPr="006E4D6E">
        <w:t>Szabstv</w:t>
      </w:r>
      <w:proofErr w:type="spellEnd"/>
      <w:r w:rsidRPr="006E4D6E">
        <w:t xml:space="preserve">. 105. § (2) bekezdése és </w:t>
      </w:r>
      <w:r w:rsidR="00A14B4B" w:rsidRPr="006E4D6E">
        <w:t xml:space="preserve">110. § (1) bekezdése </w:t>
      </w:r>
      <w:r w:rsidRPr="006E4D6E">
        <w:t>alapján kérem a tisztelt Bíróságot, hogy az ügyet tárgyaláson bírálja el!</w:t>
      </w:r>
    </w:p>
    <w:p w14:paraId="7A211AD5" w14:textId="77777777" w:rsidR="0080602C" w:rsidRDefault="0080602C" w:rsidP="00A14B4B">
      <w:pPr>
        <w:jc w:val="both"/>
      </w:pPr>
    </w:p>
    <w:p w14:paraId="630F65BF" w14:textId="1DAEC58F" w:rsidR="0080602C" w:rsidRDefault="00653FE6" w:rsidP="00A14B4B">
      <w:pPr>
        <w:jc w:val="both"/>
      </w:pPr>
      <w:r>
        <w:t>Budapest, 201</w:t>
      </w:r>
      <w:r w:rsidR="006B4C4B">
        <w:t>6</w:t>
      </w:r>
      <w:r>
        <w:t>. jú</w:t>
      </w:r>
      <w:r w:rsidR="006B4C4B">
        <w:t>lius 06</w:t>
      </w:r>
      <w:r>
        <w:t>.</w:t>
      </w:r>
    </w:p>
    <w:p w14:paraId="60BF40B4" w14:textId="77777777" w:rsidR="00653FE6" w:rsidRDefault="00653FE6" w:rsidP="00A14B4B">
      <w:pPr>
        <w:jc w:val="both"/>
      </w:pPr>
    </w:p>
    <w:p w14:paraId="24221DF2" w14:textId="77777777" w:rsidR="00653FE6" w:rsidRDefault="00653FE6" w:rsidP="00A14B4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4BE39D9D" w14:textId="77777777" w:rsidR="00653FE6" w:rsidRPr="006E4D6E" w:rsidRDefault="000C4631" w:rsidP="00653FE6">
      <w:pPr>
        <w:ind w:left="5664" w:firstLine="708"/>
        <w:jc w:val="both"/>
      </w:pPr>
      <w:r>
        <w:t>[</w:t>
      </w:r>
      <w:r w:rsidRPr="000C4631">
        <w:rPr>
          <w:highlight w:val="yellow"/>
        </w:rPr>
        <w:t>aláírás</w:t>
      </w:r>
      <w:r>
        <w:t>]</w:t>
      </w:r>
    </w:p>
    <w:sectPr w:rsidR="00653FE6" w:rsidRPr="006E4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Hegyi Szabolcs" w:date="2016-07-06T07:50:00Z" w:initials="HS">
    <w:p w14:paraId="5543561E" w14:textId="77777777" w:rsidR="00EC0D89" w:rsidRDefault="00EC0D89">
      <w:pPr>
        <w:pStyle w:val="CommentText"/>
      </w:pPr>
      <w:r>
        <w:rPr>
          <w:rStyle w:val="CommentReference"/>
        </w:rPr>
        <w:annotationRef/>
      </w:r>
      <w:r>
        <w:t>itt lehet még azzal folytatni röviden, hogy éppen mit csináltál, hol voltál, amikor az oszlatás elkezdődött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43561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Times New Roman Bold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gyi Szabolcs">
    <w15:presenceInfo w15:providerId="Windows Live" w15:userId="0840fa505df407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DC"/>
    <w:rsid w:val="000B38CD"/>
    <w:rsid w:val="000C3F17"/>
    <w:rsid w:val="000C4631"/>
    <w:rsid w:val="00104D44"/>
    <w:rsid w:val="001817EA"/>
    <w:rsid w:val="00191874"/>
    <w:rsid w:val="00207050"/>
    <w:rsid w:val="00260810"/>
    <w:rsid w:val="00262D3E"/>
    <w:rsid w:val="00291C72"/>
    <w:rsid w:val="00310743"/>
    <w:rsid w:val="00377E4B"/>
    <w:rsid w:val="00383D47"/>
    <w:rsid w:val="003A795F"/>
    <w:rsid w:val="003D0D0A"/>
    <w:rsid w:val="003E21F4"/>
    <w:rsid w:val="004D31FD"/>
    <w:rsid w:val="005C1040"/>
    <w:rsid w:val="005C5ABC"/>
    <w:rsid w:val="00653FE6"/>
    <w:rsid w:val="006B48A3"/>
    <w:rsid w:val="006B4C4B"/>
    <w:rsid w:val="006E4D6E"/>
    <w:rsid w:val="0080602C"/>
    <w:rsid w:val="00862B28"/>
    <w:rsid w:val="00904BC5"/>
    <w:rsid w:val="009711E3"/>
    <w:rsid w:val="0099678A"/>
    <w:rsid w:val="009B551E"/>
    <w:rsid w:val="00A14B4B"/>
    <w:rsid w:val="00A170FB"/>
    <w:rsid w:val="00A32A17"/>
    <w:rsid w:val="00A6756D"/>
    <w:rsid w:val="00A96EDC"/>
    <w:rsid w:val="00BC55E2"/>
    <w:rsid w:val="00BD4C89"/>
    <w:rsid w:val="00C0315E"/>
    <w:rsid w:val="00C9619C"/>
    <w:rsid w:val="00CC0E71"/>
    <w:rsid w:val="00CE266F"/>
    <w:rsid w:val="00DB067B"/>
    <w:rsid w:val="00DE68D6"/>
    <w:rsid w:val="00DF50A6"/>
    <w:rsid w:val="00E01350"/>
    <w:rsid w:val="00E06AB1"/>
    <w:rsid w:val="00E82455"/>
    <w:rsid w:val="00EA617B"/>
    <w:rsid w:val="00EC0D89"/>
    <w:rsid w:val="00F10D8D"/>
    <w:rsid w:val="00F24830"/>
    <w:rsid w:val="00F32782"/>
    <w:rsid w:val="00F32C93"/>
    <w:rsid w:val="00F8418E"/>
    <w:rsid w:val="00FC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BAD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4D6E"/>
    <w:rPr>
      <w:b/>
      <w:bCs/>
    </w:rPr>
  </w:style>
  <w:style w:type="character" w:customStyle="1" w:styleId="apple-converted-space">
    <w:name w:val="apple-converted-space"/>
    <w:basedOn w:val="DefaultParagraphFont"/>
    <w:rsid w:val="006E4D6E"/>
  </w:style>
  <w:style w:type="paragraph" w:styleId="ListParagraph">
    <w:name w:val="List Paragraph"/>
    <w:basedOn w:val="Normal"/>
    <w:uiPriority w:val="34"/>
    <w:qFormat/>
    <w:rsid w:val="009711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0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D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D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D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4D6E"/>
    <w:rPr>
      <w:b/>
      <w:bCs/>
    </w:rPr>
  </w:style>
  <w:style w:type="character" w:customStyle="1" w:styleId="apple-converted-space">
    <w:name w:val="apple-converted-space"/>
    <w:basedOn w:val="DefaultParagraphFont"/>
    <w:rsid w:val="006E4D6E"/>
  </w:style>
  <w:style w:type="paragraph" w:styleId="ListParagraph">
    <w:name w:val="List Paragraph"/>
    <w:basedOn w:val="Normal"/>
    <w:uiPriority w:val="34"/>
    <w:qFormat/>
    <w:rsid w:val="009711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0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D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D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D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1336</Words>
  <Characters>7619</Characters>
  <Application>Microsoft Macintosh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Hegyi Szabolcs</dc:creator>
  <cp:keywords/>
  <dc:description/>
  <cp:lastModifiedBy>Máté</cp:lastModifiedBy>
  <cp:revision>3</cp:revision>
  <dcterms:created xsi:type="dcterms:W3CDTF">2016-07-06T10:55:00Z</dcterms:created>
  <dcterms:modified xsi:type="dcterms:W3CDTF">2016-07-06T13:48:00Z</dcterms:modified>
</cp:coreProperties>
</file>