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4D" w:rsidRPr="00E2764D" w:rsidRDefault="00E2764D" w:rsidP="00E2764D">
      <w:pPr>
        <w:jc w:val="both"/>
        <w:rPr>
          <w:b/>
        </w:rPr>
      </w:pPr>
      <w:bookmarkStart w:id="0" w:name="_GoBack"/>
      <w:bookmarkEnd w:id="0"/>
      <w:r w:rsidRPr="00E2764D">
        <w:rPr>
          <w:b/>
        </w:rPr>
        <w:t xml:space="preserve">- A Liget Otthon felújítása közel 100 millió forintba került, a beruházást teljes egészében az Európai Unió állta. Az EU által kiadott, Az intézményi ellátásról a közösségi ellátásra való áttérésre vonatkozó közös európai útmutató című dokumentum kifejezetten rossz példaként idézi a kisebb létszámú intézmények létrehozásának és felújításának gyakorlatát, amely több közép-kelet-európai állam mellett Magyarországra is jellemző. </w:t>
      </w:r>
      <w:proofErr w:type="gramStart"/>
      <w:r w:rsidRPr="00E2764D">
        <w:rPr>
          <w:b/>
        </w:rPr>
        <w:t>A</w:t>
      </w:r>
      <w:proofErr w:type="gramEnd"/>
      <w:r w:rsidRPr="00E2764D">
        <w:rPr>
          <w:b/>
        </w:rPr>
        <w:t xml:space="preserve"> ENSZ Fogyatékos személyek jogai bizottsága kifejezzen megrótta hazánkat, amiért EU-s forrásokat használunk ilyen célokra. Miért </w:t>
      </w:r>
      <w:proofErr w:type="gramStart"/>
      <w:r w:rsidRPr="00E2764D">
        <w:rPr>
          <w:b/>
        </w:rPr>
        <w:t>eszközöl</w:t>
      </w:r>
      <w:proofErr w:type="gramEnd"/>
      <w:r w:rsidRPr="00E2764D">
        <w:rPr>
          <w:b/>
        </w:rPr>
        <w:t xml:space="preserve"> a magyar kormány ilyen beruházásokat ahelyett, hogy a kisebb lé</w:t>
      </w:r>
      <w:r>
        <w:rPr>
          <w:b/>
        </w:rPr>
        <w:t>t</w:t>
      </w:r>
      <w:r w:rsidRPr="00E2764D">
        <w:rPr>
          <w:b/>
        </w:rPr>
        <w:t>számú támogatott lakhatási formák kiépülését támogatná?</w:t>
      </w:r>
    </w:p>
    <w:p w:rsidR="00E2764D" w:rsidRDefault="00E2764D" w:rsidP="00E2764D">
      <w:pPr>
        <w:jc w:val="both"/>
      </w:pPr>
      <w:r>
        <w:t xml:space="preserve">A szociális intézményi férőhelyek kiváltásáról szóló </w:t>
      </w:r>
      <w:r w:rsidR="007D6D59">
        <w:t xml:space="preserve">2011. évi </w:t>
      </w:r>
      <w:r>
        <w:t xml:space="preserve">stratégia </w:t>
      </w:r>
      <w:r w:rsidR="009A1551">
        <w:t xml:space="preserve">elfogadása óta a nagy létszámú intézmények kiváltása mellett </w:t>
      </w:r>
      <w:r w:rsidR="00D2531C">
        <w:t xml:space="preserve">csupán az </w:t>
      </w:r>
      <w:r>
        <w:t xml:space="preserve">50 férőhelynél </w:t>
      </w:r>
      <w:r w:rsidR="00D2531C">
        <w:t xml:space="preserve">kisebb </w:t>
      </w:r>
      <w:r>
        <w:t xml:space="preserve">férőhelyszámú fogyatékos személyek, pszichiátriai- és szenvedélybetegek számára ápolást-gondozást nyújtó intézményeknek volt lehetőségük a Társadalmi Infrastruktúra Operatív Program keretében korszerűsíteni. </w:t>
      </w:r>
    </w:p>
    <w:p w:rsidR="00E2764D" w:rsidRDefault="00E2764D" w:rsidP="00E2764D">
      <w:pPr>
        <w:jc w:val="both"/>
      </w:pPr>
      <w:r>
        <w:t xml:space="preserve">A stratégia elfogadását követően megjelent </w:t>
      </w:r>
      <w:r w:rsidR="007D6D59">
        <w:t xml:space="preserve">a Társadalmi </w:t>
      </w:r>
      <w:r w:rsidR="004F7311">
        <w:t>Infrastruktúra</w:t>
      </w:r>
      <w:r w:rsidR="007D6D59">
        <w:t xml:space="preserve"> Operatív Program (a továbbiakban </w:t>
      </w:r>
      <w:r>
        <w:t>TIOP</w:t>
      </w:r>
      <w:r w:rsidR="007D6D59">
        <w:t>)</w:t>
      </w:r>
      <w:r>
        <w:t xml:space="preserve"> 3.4.2-11/1 „Önkormányzati, állami, egyházi, nonprofit fenntartású bentlakásos intézmények korszerűsítése” című pályázat, melynek egyik nyertese a Liget Otthon, összhangban van a kiváltás stratégia céljával. A TIOP 3.4.2. a Szociális törvény hatálya alá tarozó szolgáltatások közül az idősek otthonainak, a hajléktalanok otthonainak és rehabilitációs intézményeinek, éjjeli menedékhelyeinek és átmeneti szállásainak a korszerűsítésére is irányult. Ugyanez a pályázat tette lehetővé a Gyermekvédelmi törvény hatálya alá tartozó gyermekek és családok átmeneti otthonainak - mely szolgáltatás biztosításával elkerülhető a gyermekek gyermekvédelmi szakellátásban helyezése – korszerűsítését. Továbbá az 1990-es években működésüket megkezdő, valamint a Gyermekvédelmi törvény kiváltásra vonatkozó rendelkezései alapján 1990-es évek végén, 2000-es évek elején létrejött legfeljebb 12 férőhelyes lakásotthonok, legfeljebb 48 férőhelyes gyermekotthonok (</w:t>
      </w:r>
      <w:proofErr w:type="spellStart"/>
      <w:r>
        <w:t>max</w:t>
      </w:r>
      <w:proofErr w:type="spellEnd"/>
      <w:r>
        <w:t xml:space="preserve">. 12 férőhelyes csoportokkal) – amelyek nagy létszámú gyermekotthonok kiváltása nyomán jöttek létre – felújítása, korszerűsítése is megvalósulhatott.  </w:t>
      </w:r>
    </w:p>
    <w:p w:rsidR="00E2764D" w:rsidRDefault="00E2764D" w:rsidP="00E2764D">
      <w:pPr>
        <w:jc w:val="both"/>
      </w:pPr>
      <w:r>
        <w:t xml:space="preserve">A 2011-ben megjelent korszerűsítésre irányuló pályázatra a kiváltás három célcsoportja vonatkozásában </w:t>
      </w:r>
      <w:r w:rsidR="00D2531C">
        <w:t xml:space="preserve">tehát </w:t>
      </w:r>
      <w:r>
        <w:t>csak azok az intézmények pályázhattak, melyek férőhelyszáma 50 főnél alacsonyabb</w:t>
      </w:r>
      <w:r w:rsidR="00D2531C">
        <w:t xml:space="preserve"> volt</w:t>
      </w:r>
      <w:r>
        <w:t xml:space="preserve">. A pszichiátriai betegek, szenvedélybetegek, valamint a fogyatékos személyek vonatkozásában férőhelybővítésre kizárólag támogatott lakhatás formájában (a lakhatási szolgáltatás esetén maximum 6 főnek, illetve maximum 12 főnek szolgáltatást biztosító lakás/ház formájában) kerülhetett sor. A pályázat még azt is kikötötte, hogy </w:t>
      </w:r>
      <w:proofErr w:type="gramStart"/>
      <w:r>
        <w:t>ezen</w:t>
      </w:r>
      <w:proofErr w:type="gramEnd"/>
      <w:r>
        <w:t xml:space="preserve"> célcsoportok tekintetében a férőhelybővítéssel elért összlétszám nem lehet több mint 50 fő. </w:t>
      </w:r>
    </w:p>
    <w:p w:rsidR="00E2764D" w:rsidRPr="00E2764D" w:rsidRDefault="00E2764D" w:rsidP="00E2764D">
      <w:pPr>
        <w:jc w:val="both"/>
        <w:rPr>
          <w:b/>
        </w:rPr>
      </w:pPr>
      <w:r w:rsidRPr="00E2764D">
        <w:rPr>
          <w:b/>
        </w:rPr>
        <w:t>- Az otthon felújítása 100 millió forintba került az adófizetőknek. Nem gondolja-e, hogy ezt a pénzt hatékonyabban is fel lehetett volna használni akkor, ha az elavult épület felújítása helyett négy vagy öt használt ingatlant vásárolnak Szolnokon, és azokba költöznek ki a lakók?</w:t>
      </w:r>
    </w:p>
    <w:p w:rsidR="00E2764D" w:rsidRDefault="00E2764D" w:rsidP="00E2764D">
      <w:pPr>
        <w:jc w:val="both"/>
      </w:pPr>
      <w:r>
        <w:t xml:space="preserve">A TIOP 3.4.2. konstrukció célja a szociális és gyermekvédelmi intézményrendszer korszerűsítése és a nyújtott szolgáltatások minőségének javítása az igénybe vevők méltó életkörülményeinek megteremtése érdekében. A pályázat keretében korszerűsítésre két módon kerülhetett sor: egyfelől az intézményi épület, az intézményben lévő lakóhelyiségek és közösségi terek korszerűsítésével, másfelől az intézményben esetlegesen tapasztalható zsúfoltság enyhítésével, a belakható tér kitágításával. A bentlakásos intézmények korszerűsítése, mint fő tevékenység mellett további cél volt az intézmény szolgáltatásainak a lakosság, illetve a működő alapszolgáltatások felé való bővítése. A </w:t>
      </w:r>
      <w:r>
        <w:lastRenderedPageBreak/>
        <w:t>kiváltás célcsoportjai vonatkozásában férőhelybővítésre kizárólag támogatott lakhatás formájában (a lakhatási szolgáltatás esetén maximum 6 főnek, illetve maximum 12 főnek szolgáltatást biztosító lakás/ház formájában) kerülhetett sor.</w:t>
      </w:r>
    </w:p>
    <w:p w:rsidR="007D6D59" w:rsidRDefault="007D6D59" w:rsidP="00E2764D">
      <w:pPr>
        <w:jc w:val="both"/>
        <w:rPr>
          <w:rFonts w:cs="Arial"/>
          <w:color w:val="534E4E"/>
          <w:shd w:val="clear" w:color="auto" w:fill="FFFFFF"/>
        </w:rPr>
      </w:pPr>
      <w:r w:rsidRPr="004F7311">
        <w:rPr>
          <w:rFonts w:cs="Arial"/>
          <w:color w:val="534E4E"/>
          <w:shd w:val="clear" w:color="auto" w:fill="FFFFFF"/>
        </w:rPr>
        <w:t>A</w:t>
      </w:r>
      <w:r>
        <w:rPr>
          <w:rFonts w:cs="Arial"/>
          <w:color w:val="534E4E"/>
          <w:shd w:val="clear" w:color="auto" w:fill="FFFFFF"/>
        </w:rPr>
        <w:t xml:space="preserve"> konkrét</w:t>
      </w:r>
      <w:r w:rsidRPr="004F7311">
        <w:rPr>
          <w:rFonts w:cs="Arial"/>
          <w:color w:val="534E4E"/>
          <w:shd w:val="clear" w:color="auto" w:fill="FFFFFF"/>
        </w:rPr>
        <w:t xml:space="preserve"> projekt célja volt a Liget Otthon épületének átfogó felújításán és korszerűsítésén keresztül hozzájárulni a társadalmi befogadás erősítéséhez szükséges szolgáltatások és infrastruktúra fejlesztéséhez.</w:t>
      </w:r>
      <w:r w:rsidRPr="004F7311">
        <w:rPr>
          <w:rFonts w:cs="Arial"/>
          <w:color w:val="534E4E"/>
        </w:rPr>
        <w:br/>
      </w:r>
      <w:r w:rsidRPr="004F7311">
        <w:rPr>
          <w:rFonts w:cs="Arial"/>
          <w:color w:val="534E4E"/>
          <w:shd w:val="clear" w:color="auto" w:fill="FFFFFF"/>
        </w:rPr>
        <w:t xml:space="preserve">A projekt keretében megtörtént az intézmény étkezőjének bővítése a belső udvar egy részének beépítésével, így közel 90 m2-rel nőtt az így már közösségi célra is használható helyiség. A lakószobák nem minden esetben feleltek meg a jogszabályi feltételeknek, így a régi irodák helyén is 2 db 3 ágyas lakószoba és 1 db kétágyas betegszoba került kialakításra. 4 db irodai helyiséget az étkező-bővítmény emeletén alakítottak ki, így lehetőség nyílt a Liget Otthonban lévő zsúfoltság csökkentésére és a meglévő elavult fűtési, szigetelés rendszer korszerűsítésére. Az épület új nyílászárókat kapott, a fűtésrendszer korszerűbbé vált, továbbá a látványjavítás és energia- racionalizálás végett a külső homlokzat utólagos hőszigetelése is megtörtént. A kivitelezés </w:t>
      </w:r>
      <w:r>
        <w:rPr>
          <w:rFonts w:cs="Arial"/>
          <w:color w:val="534E4E"/>
          <w:shd w:val="clear" w:color="auto" w:fill="FFFFFF"/>
        </w:rPr>
        <w:t xml:space="preserve">2014. </w:t>
      </w:r>
      <w:r w:rsidRPr="004F7311">
        <w:rPr>
          <w:rFonts w:cs="Arial"/>
          <w:color w:val="534E4E"/>
          <w:shd w:val="clear" w:color="auto" w:fill="FFFFFF"/>
        </w:rPr>
        <w:t>május végén kezdődött és november végén fejeződött be.</w:t>
      </w:r>
    </w:p>
    <w:p w:rsidR="007D6D59" w:rsidRDefault="007D6D59" w:rsidP="00E2764D">
      <w:pPr>
        <w:jc w:val="both"/>
        <w:rPr>
          <w:rFonts w:cs="Arial"/>
          <w:color w:val="534E4E"/>
          <w:shd w:val="clear" w:color="auto" w:fill="FFFFFF"/>
        </w:rPr>
      </w:pPr>
      <w:r w:rsidRPr="004F7311">
        <w:rPr>
          <w:rFonts w:cs="Arial"/>
          <w:color w:val="534E4E"/>
          <w:shd w:val="clear" w:color="auto" w:fill="FFFFFF"/>
        </w:rPr>
        <w:t>A projekthez kapcsolódó szakmai programmal a projektgazda javítani tudta az intézményi környezetben dolgozók feladatellátásának minőségét, mind a dolgozók, mind pedig a lakók az intézményi változásokra felkészítő foglalkozásokon vehettek részt.</w:t>
      </w:r>
    </w:p>
    <w:p w:rsidR="007D6D59" w:rsidRDefault="007D6D59" w:rsidP="00E2764D">
      <w:pPr>
        <w:jc w:val="both"/>
        <w:rPr>
          <w:rFonts w:cs="Arial"/>
          <w:color w:val="534E4E"/>
          <w:shd w:val="clear" w:color="auto" w:fill="FFFFFF"/>
        </w:rPr>
      </w:pPr>
      <w:r w:rsidRPr="004F7311">
        <w:rPr>
          <w:rFonts w:cs="Arial"/>
          <w:color w:val="534E4E"/>
          <w:shd w:val="clear" w:color="auto" w:fill="FFFFFF"/>
        </w:rPr>
        <w:t>A projekt összköltsége: 98.499.590 forint</w:t>
      </w:r>
      <w:r>
        <w:rPr>
          <w:rFonts w:cs="Arial"/>
          <w:color w:val="534E4E"/>
          <w:shd w:val="clear" w:color="auto" w:fill="FFFFFF"/>
        </w:rPr>
        <w:t xml:space="preserve">. </w:t>
      </w:r>
    </w:p>
    <w:p w:rsidR="007D6D59" w:rsidRDefault="007D6D59" w:rsidP="00E2764D">
      <w:pPr>
        <w:jc w:val="both"/>
        <w:rPr>
          <w:rFonts w:cs="Arial"/>
          <w:color w:val="534E4E"/>
          <w:shd w:val="clear" w:color="auto" w:fill="FFFFFF"/>
        </w:rPr>
      </w:pPr>
      <w:r w:rsidRPr="004F7311">
        <w:rPr>
          <w:rFonts w:cs="Arial"/>
          <w:color w:val="534E4E"/>
          <w:shd w:val="clear" w:color="auto" w:fill="FFFFFF"/>
        </w:rPr>
        <w:t>A projekt elszámolható összköltsége: 98.499.590 forint</w:t>
      </w:r>
    </w:p>
    <w:p w:rsidR="007D6D59" w:rsidRPr="007D6D59" w:rsidRDefault="007D6D59" w:rsidP="00E2764D">
      <w:pPr>
        <w:jc w:val="both"/>
      </w:pPr>
      <w:r w:rsidRPr="004F7311">
        <w:rPr>
          <w:rFonts w:cs="Arial"/>
          <w:color w:val="534E4E"/>
          <w:shd w:val="clear" w:color="auto" w:fill="FFFFFF"/>
        </w:rPr>
        <w:t>A támogatás mértéke a Projekt elszámolható összköltségének 100%-</w:t>
      </w:r>
      <w:proofErr w:type="gramStart"/>
      <w:r w:rsidRPr="004F7311">
        <w:rPr>
          <w:rFonts w:cs="Arial"/>
          <w:color w:val="534E4E"/>
          <w:shd w:val="clear" w:color="auto" w:fill="FFFFFF"/>
        </w:rPr>
        <w:t>a</w:t>
      </w:r>
      <w:proofErr w:type="gramEnd"/>
      <w:r w:rsidRPr="004F7311">
        <w:rPr>
          <w:rFonts w:cs="Arial"/>
          <w:color w:val="534E4E"/>
          <w:shd w:val="clear" w:color="auto" w:fill="FFFFFF"/>
        </w:rPr>
        <w:t>, 98.499.590 forint.</w:t>
      </w:r>
    </w:p>
    <w:p w:rsidR="007D6D59" w:rsidRDefault="007D6D59" w:rsidP="00E2764D">
      <w:pPr>
        <w:jc w:val="both"/>
      </w:pPr>
      <w:r>
        <w:t xml:space="preserve">A fentiek alapján a kiírásnak megfelelő célra történt a felhasználás. </w:t>
      </w:r>
    </w:p>
    <w:p w:rsidR="007D6D59" w:rsidRDefault="007D6D59" w:rsidP="00E2764D">
      <w:pPr>
        <w:jc w:val="both"/>
      </w:pPr>
    </w:p>
    <w:p w:rsidR="00E2764D" w:rsidRPr="00E2764D" w:rsidRDefault="00E2764D" w:rsidP="00E2764D">
      <w:pPr>
        <w:jc w:val="both"/>
        <w:rPr>
          <w:b/>
        </w:rPr>
      </w:pPr>
      <w:r w:rsidRPr="00E2764D">
        <w:rPr>
          <w:b/>
        </w:rPr>
        <w:t>- Az otthon felújítása az intézeten belül jobb és élhetőbb körülményeket teremtett. Ugyanakkor a lakókkal folytatott beszélgetések alapján az a benyomásunk alakult ki, hogy az életük ettől nem lett szabadabb, önrendelkezési jogaik gyakorlásában nem léphettek előre. A kérdésem az, hogy mit kíván tenni a kormány annak érdekében, hogy az ilyen jellegű beruházások ne pusztán infrastrukturális beruházások legyenek, hanem hozzájáruljanak a Fogyatékossággal élő személyek jogairól szóló ENSZ egyezmény ratifikálásával vállalt kötelezettségek teljesítéséhez, jelesül ahhoz, hogy a lakók önrendelkezési jogai megerősödjenek, cselekvőképességüket mind nagyobb számban gyakorolhassák, és a helyi közösség tagjaiként élhessenek?</w:t>
      </w:r>
    </w:p>
    <w:p w:rsidR="00E2764D" w:rsidRDefault="00E2764D" w:rsidP="00E2764D">
      <w:pPr>
        <w:jc w:val="both"/>
      </w:pPr>
      <w:r>
        <w:t xml:space="preserve">A korszerűsítés a TIOP keretében </w:t>
      </w:r>
      <w:r w:rsidR="007D6D59">
        <w:t>meg</w:t>
      </w:r>
      <w:r>
        <w:t>valósult program</w:t>
      </w:r>
      <w:r w:rsidR="007D6D59">
        <w:t xml:space="preserve">, amely </w:t>
      </w:r>
      <w:r>
        <w:t>a humán közszolgáltatások fizikai infrastrukturális feltételeinek fejlesztésével kíván hozzájárulni a tartós növekedéshez és a foglalkoztatás bővítéséhez</w:t>
      </w:r>
      <w:r w:rsidR="007D6D59">
        <w:t>, más célra nem használható fel.</w:t>
      </w:r>
    </w:p>
    <w:p w:rsidR="007D6D59" w:rsidRDefault="00E2764D" w:rsidP="00E2764D">
      <w:pPr>
        <w:jc w:val="both"/>
      </w:pPr>
      <w:r>
        <w:t xml:space="preserve">Az Emberi Erőforrás Fejlesztési Operatív Program </w:t>
      </w:r>
      <w:r w:rsidR="007D6D59">
        <w:t xml:space="preserve">(a továbbiakban EFOP) </w:t>
      </w:r>
      <w:r>
        <w:t xml:space="preserve">2014-2020 a fogyatékos személyek szakosított ellátásai közül kizárólag az átmeneti ellátást, illetve rehabilitációt biztosító intézmények korszerűsítésének lehetőségét, továbbá az 50 fő feletti férőhelyszámú ápoló-gondozó otthonok kiváltását foglalja magában. </w:t>
      </w:r>
    </w:p>
    <w:p w:rsidR="00AF14B5" w:rsidRDefault="007D6D59" w:rsidP="004F7311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4F7311">
        <w:rPr>
          <w:rFonts w:asciiTheme="minorHAnsi" w:hAnsiTheme="minorHAnsi"/>
          <w:sz w:val="22"/>
          <w:szCs w:val="22"/>
        </w:rPr>
        <w:lastRenderedPageBreak/>
        <w:t>Határozott elképzelés</w:t>
      </w:r>
      <w:r w:rsidR="00E2764D" w:rsidRPr="004F7311">
        <w:rPr>
          <w:rFonts w:asciiTheme="minorHAnsi" w:hAnsiTheme="minorHAnsi"/>
          <w:sz w:val="22"/>
          <w:szCs w:val="22"/>
        </w:rPr>
        <w:t xml:space="preserve"> </w:t>
      </w:r>
      <w:r w:rsidRPr="004F7311">
        <w:rPr>
          <w:rFonts w:asciiTheme="minorHAnsi" w:hAnsiTheme="minorHAnsi"/>
          <w:sz w:val="22"/>
          <w:szCs w:val="22"/>
        </w:rPr>
        <w:t xml:space="preserve">a kiváltás stratégia </w:t>
      </w:r>
      <w:r w:rsidR="00AF14B5" w:rsidRPr="004F7311">
        <w:rPr>
          <w:rFonts w:asciiTheme="minorHAnsi" w:hAnsiTheme="minorHAnsi"/>
          <w:sz w:val="22"/>
          <w:szCs w:val="22"/>
        </w:rPr>
        <w:t>alapján az úgynevezett „</w:t>
      </w:r>
      <w:proofErr w:type="spellStart"/>
      <w:r w:rsidR="00AF14B5" w:rsidRPr="004F7311">
        <w:rPr>
          <w:rFonts w:asciiTheme="minorHAnsi" w:hAnsiTheme="minorHAnsi"/>
          <w:sz w:val="22"/>
          <w:szCs w:val="22"/>
        </w:rPr>
        <w:t>intézménytelenítés</w:t>
      </w:r>
      <w:proofErr w:type="spellEnd"/>
      <w:r w:rsidR="00AF14B5" w:rsidRPr="004F7311">
        <w:rPr>
          <w:rFonts w:asciiTheme="minorHAnsi" w:hAnsiTheme="minorHAnsi"/>
          <w:sz w:val="22"/>
          <w:szCs w:val="22"/>
        </w:rPr>
        <w:t>” folytatása, fókuszálva az egyéni igényekre. A támogatott lakhatás jogszabályi keretei és szakmai tartalma bevezetésre került</w:t>
      </w:r>
      <w:r w:rsidR="00AF14B5">
        <w:rPr>
          <w:rFonts w:asciiTheme="minorHAnsi" w:hAnsiTheme="minorHAnsi"/>
          <w:sz w:val="22"/>
          <w:szCs w:val="22"/>
        </w:rPr>
        <w:t xml:space="preserve"> a szociális törvényben és a kapcsolódó végrehajtási rendeletekben. Ezen szolgáltatások száma folyamatosan n</w:t>
      </w:r>
      <w:r w:rsidR="00AF14B5" w:rsidRPr="004F7311">
        <w:rPr>
          <w:rFonts w:asciiTheme="minorHAnsi" w:hAnsiTheme="minorHAnsi"/>
          <w:sz w:val="22"/>
          <w:szCs w:val="22"/>
        </w:rPr>
        <w:t xml:space="preserve">övekszik. </w:t>
      </w:r>
    </w:p>
    <w:p w:rsidR="00AF14B5" w:rsidRPr="004F7311" w:rsidRDefault="00AF14B5" w:rsidP="004F7311">
      <w:pPr>
        <w:pStyle w:val="NormlWeb"/>
        <w:jc w:val="both"/>
        <w:rPr>
          <w:rFonts w:asciiTheme="minorHAnsi" w:hAnsiTheme="minorHAnsi"/>
          <w:color w:val="000000"/>
          <w:sz w:val="22"/>
          <w:szCs w:val="22"/>
        </w:rPr>
      </w:pPr>
      <w:r w:rsidRPr="004F7311">
        <w:rPr>
          <w:rFonts w:asciiTheme="minorHAnsi" w:hAnsiTheme="minorHAnsi"/>
          <w:sz w:val="22"/>
          <w:szCs w:val="22"/>
        </w:rPr>
        <w:t>Ehhez párosul az önrendelkezés erősítése</w:t>
      </w:r>
      <w:r>
        <w:rPr>
          <w:rFonts w:asciiTheme="minorHAnsi" w:hAnsiTheme="minorHAnsi"/>
          <w:sz w:val="22"/>
          <w:szCs w:val="22"/>
        </w:rPr>
        <w:t>, amelynek alapjait a támogatott döntéshozatalról szóló</w:t>
      </w:r>
      <w:r w:rsidRPr="004F7311">
        <w:rPr>
          <w:rFonts w:asciiTheme="minorHAnsi" w:hAnsiTheme="minorHAnsi"/>
          <w:sz w:val="22"/>
          <w:szCs w:val="22"/>
        </w:rPr>
        <w:t xml:space="preserve"> </w:t>
      </w:r>
      <w:r w:rsidRPr="00AF14B5">
        <w:rPr>
          <w:rFonts w:asciiTheme="minorHAnsi" w:hAnsiTheme="minorHAnsi"/>
          <w:color w:val="000000"/>
          <w:sz w:val="22"/>
          <w:szCs w:val="22"/>
        </w:rPr>
        <w:t>2013. évi CLV. törvé</w:t>
      </w:r>
      <w:r>
        <w:rPr>
          <w:rFonts w:asciiTheme="minorHAnsi" w:hAnsiTheme="minorHAnsi"/>
          <w:color w:val="000000"/>
          <w:sz w:val="22"/>
          <w:szCs w:val="22"/>
        </w:rPr>
        <w:t xml:space="preserve">ny teremtette meg. </w:t>
      </w:r>
    </w:p>
    <w:p w:rsidR="00AF14B5" w:rsidRPr="004F7311" w:rsidRDefault="00AF14B5" w:rsidP="004F7311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="Times New Roman"/>
          <w:lang w:eastAsia="hu-HU"/>
        </w:rPr>
      </w:pPr>
      <w:bookmarkStart w:id="1" w:name="kagy2"/>
      <w:bookmarkStart w:id="2" w:name="pos1"/>
      <w:bookmarkEnd w:id="1"/>
      <w:bookmarkEnd w:id="2"/>
      <w:r w:rsidRPr="004F7311">
        <w:rPr>
          <w:rFonts w:eastAsiaTheme="minorEastAsia"/>
          <w:color w:val="000000" w:themeColor="text1"/>
          <w:lang w:eastAsia="hu-HU"/>
        </w:rPr>
        <w:t>A jogszabtte megörvéa támogatott döntéshozatalról szólóndeletekben. Ezen szolgáltatás</w:t>
      </w:r>
      <w:r w:rsidR="00CE0061">
        <w:rPr>
          <w:rFonts w:eastAsiaTheme="minorEastAsia"/>
          <w:color w:val="000000" w:themeColor="text1"/>
          <w:lang w:eastAsia="hu-HU"/>
        </w:rPr>
        <w:t xml:space="preserve">azon </w:t>
      </w:r>
      <w:r w:rsidRPr="004F7311">
        <w:rPr>
          <w:rFonts w:eastAsiaTheme="minorEastAsia"/>
          <w:color w:val="000000" w:themeColor="text1"/>
          <w:lang w:eastAsia="hu-HU"/>
        </w:rPr>
        <w:t>18.  szabtte megörvéa támogatott döntéshozatalr</w:t>
      </w:r>
      <w:r w:rsidR="00CE0061">
        <w:rPr>
          <w:rFonts w:eastAsiaTheme="minorEastAsia"/>
          <w:color w:val="000000" w:themeColor="text1"/>
          <w:lang w:eastAsia="hu-HU"/>
        </w:rPr>
        <w:t>akiknek</w:t>
      </w:r>
      <w:r w:rsidRPr="004F7311">
        <w:rPr>
          <w:rFonts w:eastAsiaTheme="minorEastAsia"/>
          <w:color w:val="000000" w:themeColor="text1"/>
          <w:lang w:eastAsia="hu-HU"/>
        </w:rPr>
        <w:t xml:space="preserve">: </w:t>
      </w:r>
    </w:p>
    <w:p w:rsidR="00AF14B5" w:rsidRPr="004F7311" w:rsidRDefault="00AF14B5" w:rsidP="004F7311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Times New Roman"/>
          <w:color w:val="003366"/>
          <w:lang w:eastAsia="hu-HU"/>
        </w:rPr>
      </w:pPr>
      <w:r w:rsidRPr="004F7311">
        <w:rPr>
          <w:rFonts w:eastAsiaTheme="minorEastAsia"/>
          <w:color w:val="000000" w:themeColor="text1"/>
          <w:lang w:eastAsia="hu-HU"/>
        </w:rPr>
        <w:t>belk szabtte megörvéa támogatott döntéshozata</w:t>
      </w:r>
    </w:p>
    <w:p w:rsidR="00AF14B5" w:rsidRPr="004F7311" w:rsidRDefault="00AF14B5" w:rsidP="004F7311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Times New Roman"/>
          <w:color w:val="003366"/>
          <w:lang w:eastAsia="hu-HU"/>
        </w:rPr>
      </w:pPr>
      <w:r w:rsidRPr="004F7311">
        <w:rPr>
          <w:rFonts w:eastAsiaTheme="minorEastAsia"/>
          <w:color w:val="000000" w:themeColor="text1"/>
          <w:lang w:eastAsia="hu-HU"/>
        </w:rPr>
        <w:t>delk szabtte megörvéa támogatott döntéshozatalról</w:t>
      </w:r>
    </w:p>
    <w:p w:rsidR="00AF14B5" w:rsidRPr="004F7311" w:rsidRDefault="00AF14B5" w:rsidP="004F7311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textAlignment w:val="baseline"/>
        <w:rPr>
          <w:rFonts w:eastAsia="Times New Roman" w:cs="Times New Roman"/>
          <w:color w:val="003366"/>
          <w:lang w:eastAsia="hu-HU"/>
        </w:rPr>
      </w:pPr>
      <w:r w:rsidRPr="004F7311">
        <w:rPr>
          <w:rFonts w:eastAsiaTheme="minorEastAsia"/>
          <w:color w:val="000000" w:themeColor="text1"/>
          <w:lang w:eastAsia="hu-HU"/>
        </w:rPr>
        <w:t>nincs szbtte megörvéa támogatott döntésho</w:t>
      </w:r>
    </w:p>
    <w:p w:rsidR="00E2764D" w:rsidRDefault="00E2764D" w:rsidP="00E2764D">
      <w:pPr>
        <w:jc w:val="both"/>
      </w:pPr>
    </w:p>
    <w:p w:rsidR="00E2764D" w:rsidRPr="00E2764D" w:rsidRDefault="00E2764D" w:rsidP="00E2764D">
      <w:pPr>
        <w:jc w:val="both"/>
        <w:rPr>
          <w:b/>
        </w:rPr>
      </w:pPr>
      <w:r w:rsidRPr="00E2764D">
        <w:rPr>
          <w:b/>
        </w:rPr>
        <w:t>- A szociális törvény jelenleg a támogatott lakhatás három formáját különbözteti meg: a lakást, a lakóotthont és a lakócentrumot (legfeljebb hat, legfeljebb tizenkét, legfeljebb ötven fő befogadására alkalmas szolgáltatásokat). Ez utóbbi akár 50 fő befogadására is alkalmas lehet. A nemzetközi szakirodalom és a hazai kutatások alapján is állítható, hogy a lakócentrumok valójában intézetek. Kívánja-e a magyar kormány megfontolni azt, hogy újragondolja a támogatott lakhatás hazai törvénybe foglalt meghatározását, és azt úgy átalakítani, hogy támogatott lakhatás alatt ténylegesen olyan szolgáltatásokat nevesítsen a törvény, amelyek lehetővé teszik, hogy a fogyatékos állampolgárok a helyi közösségekben éljenek, és maguk dönthessenek arról, hogy kivel és hogyan élnek?</w:t>
      </w:r>
    </w:p>
    <w:p w:rsidR="00CE0061" w:rsidRDefault="00E2764D" w:rsidP="00E2764D">
      <w:pPr>
        <w:jc w:val="both"/>
      </w:pPr>
      <w:r>
        <w:t xml:space="preserve">A szaktárca kapcsolatot tart mind a kiváltásra kerülő intézményekkel, mind a már működő támogatott lakhatást nyújtó szolgáltatókkal. A területi tapasztalatok </w:t>
      </w:r>
      <w:r w:rsidR="00CE0061">
        <w:t xml:space="preserve">legutóbb </w:t>
      </w:r>
      <w:r>
        <w:t>a 201</w:t>
      </w:r>
      <w:r w:rsidR="00CE0061">
        <w:t>5</w:t>
      </w:r>
      <w:r>
        <w:t xml:space="preserve">. január </w:t>
      </w:r>
      <w:r w:rsidR="00E40426">
        <w:t xml:space="preserve">1-jétől </w:t>
      </w:r>
      <w:r>
        <w:t xml:space="preserve">életbe lépett módosításokkal beépültek a jogszabályokba. 2013. január </w:t>
      </w:r>
      <w:r w:rsidR="00E40426">
        <w:t xml:space="preserve">1-jétől </w:t>
      </w:r>
      <w:r>
        <w:t>a fenntartó a már meglévő ápoló-gondozó otthoni férőhelyeit csak a támogatott lakhatás valamelyik formájába szervezheti át, illetve új férőhelyek csak lakásban vagy házban alakíthatók ki.</w:t>
      </w:r>
      <w:r w:rsidR="00E40426">
        <w:t xml:space="preserve"> </w:t>
      </w:r>
    </w:p>
    <w:p w:rsidR="00CE0061" w:rsidRDefault="00CE0061" w:rsidP="00E2764D">
      <w:pPr>
        <w:jc w:val="both"/>
      </w:pPr>
      <w:r>
        <w:t xml:space="preserve">A támogatott lakhatás igénybevételét komplex szükségletfelmérés előzi meg, amely a szolgáltatást igénybevevő egyéni szükségleteit méri fel. </w:t>
      </w:r>
    </w:p>
    <w:p w:rsidR="00CE0061" w:rsidRPr="004F7311" w:rsidRDefault="00CE0061" w:rsidP="004F7311">
      <w:pPr>
        <w:shd w:val="clear" w:color="auto" w:fill="FFFFFF"/>
        <w:spacing w:after="0" w:line="240" w:lineRule="auto"/>
        <w:ind w:right="150"/>
        <w:jc w:val="both"/>
        <w:rPr>
          <w:rFonts w:eastAsia="Times New Roman" w:cs="Tahoma"/>
          <w:color w:val="222222"/>
          <w:lang w:eastAsia="hu-HU"/>
        </w:rPr>
      </w:pPr>
      <w:r w:rsidRPr="004F7311">
        <w:rPr>
          <w:rFonts w:eastAsia="Times New Roman" w:cs="Tahoma"/>
          <w:color w:val="222222"/>
          <w:lang w:eastAsia="hu-HU"/>
        </w:rPr>
        <w:t>A komplex szükségletfelmérés kiterjed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3" w:name="pr1034"/>
      <w:bookmarkEnd w:id="3"/>
      <w:proofErr w:type="gramStart"/>
      <w:r w:rsidRPr="004F7311">
        <w:rPr>
          <w:rFonts w:eastAsia="Times New Roman" w:cs="Tahoma"/>
          <w:i/>
          <w:iCs/>
          <w:color w:val="222222"/>
          <w:lang w:eastAsia="hu-HU"/>
        </w:rPr>
        <w:t>a</w:t>
      </w:r>
      <w:proofErr w:type="gramEnd"/>
      <w:r w:rsidRPr="004F7311">
        <w:rPr>
          <w:rFonts w:eastAsia="Times New Roman" w:cs="Tahoma"/>
          <w:i/>
          <w:iCs/>
          <w:color w:val="222222"/>
          <w:lang w:eastAsia="hu-HU"/>
        </w:rPr>
        <w:t>) </w:t>
      </w:r>
      <w:r w:rsidRPr="004F7311">
        <w:rPr>
          <w:rFonts w:eastAsia="Times New Roman" w:cs="Tahoma"/>
          <w:color w:val="222222"/>
          <w:lang w:eastAsia="hu-HU"/>
        </w:rPr>
        <w:t>az egyén igényeire és elvárásaira a mindennapi életvezetésének támogatásával kapcsolatban,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4" w:name="pr1035"/>
      <w:bookmarkEnd w:id="4"/>
      <w:r w:rsidRPr="004F7311">
        <w:rPr>
          <w:rFonts w:eastAsia="Times New Roman" w:cs="Tahoma"/>
          <w:i/>
          <w:iCs/>
          <w:color w:val="222222"/>
          <w:lang w:eastAsia="hu-HU"/>
        </w:rPr>
        <w:t>b) </w:t>
      </w:r>
      <w:r w:rsidRPr="004F7311">
        <w:rPr>
          <w:rFonts w:eastAsia="Times New Roman" w:cs="Tahoma"/>
          <w:color w:val="222222"/>
          <w:lang w:eastAsia="hu-HU"/>
        </w:rPr>
        <w:t>az egyén által megfogalmazott rövid- és hosszú távú célokra,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5" w:name="pr1036"/>
      <w:bookmarkEnd w:id="5"/>
      <w:r w:rsidRPr="004F7311">
        <w:rPr>
          <w:rFonts w:eastAsia="Times New Roman" w:cs="Tahoma"/>
          <w:i/>
          <w:iCs/>
          <w:color w:val="222222"/>
          <w:lang w:eastAsia="hu-HU"/>
        </w:rPr>
        <w:t>c) </w:t>
      </w:r>
      <w:r w:rsidRPr="004F7311">
        <w:rPr>
          <w:rFonts w:eastAsia="Times New Roman" w:cs="Tahoma"/>
          <w:color w:val="222222"/>
          <w:lang w:eastAsia="hu-HU"/>
        </w:rPr>
        <w:t>az életkor- és fogyatékosság-specifikus igényekre,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6" w:name="pr1037"/>
      <w:bookmarkEnd w:id="6"/>
      <w:r w:rsidRPr="004F7311">
        <w:rPr>
          <w:rFonts w:eastAsia="Times New Roman" w:cs="Tahoma"/>
          <w:i/>
          <w:iCs/>
          <w:color w:val="222222"/>
          <w:lang w:eastAsia="hu-HU"/>
        </w:rPr>
        <w:t>d) </w:t>
      </w:r>
      <w:r w:rsidRPr="004F7311">
        <w:rPr>
          <w:rFonts w:eastAsia="Times New Roman" w:cs="Tahoma"/>
          <w:color w:val="222222"/>
          <w:lang w:eastAsia="hu-HU"/>
        </w:rPr>
        <w:t>a családi állapotra, a természetes és professzionális támogató környezetre,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7" w:name="pr1038"/>
      <w:bookmarkEnd w:id="7"/>
      <w:proofErr w:type="gramStart"/>
      <w:r w:rsidRPr="004F7311">
        <w:rPr>
          <w:rFonts w:eastAsia="Times New Roman" w:cs="Tahoma"/>
          <w:i/>
          <w:iCs/>
          <w:color w:val="222222"/>
          <w:lang w:eastAsia="hu-HU"/>
        </w:rPr>
        <w:t>e</w:t>
      </w:r>
      <w:proofErr w:type="gramEnd"/>
      <w:r w:rsidRPr="004F7311">
        <w:rPr>
          <w:rFonts w:eastAsia="Times New Roman" w:cs="Tahoma"/>
          <w:i/>
          <w:iCs/>
          <w:color w:val="222222"/>
          <w:lang w:eastAsia="hu-HU"/>
        </w:rPr>
        <w:t>) </w:t>
      </w:r>
      <w:r w:rsidRPr="004F7311">
        <w:rPr>
          <w:rFonts w:eastAsia="Times New Roman" w:cs="Tahoma"/>
          <w:color w:val="222222"/>
          <w:lang w:eastAsia="hu-HU"/>
        </w:rPr>
        <w:t>a képzettségre, munkatapasztalatra,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8" w:name="pr1039"/>
      <w:bookmarkEnd w:id="8"/>
      <w:proofErr w:type="gramStart"/>
      <w:r w:rsidRPr="004F7311">
        <w:rPr>
          <w:rFonts w:eastAsia="Times New Roman" w:cs="Tahoma"/>
          <w:i/>
          <w:iCs/>
          <w:color w:val="222222"/>
          <w:lang w:eastAsia="hu-HU"/>
        </w:rPr>
        <w:t>f</w:t>
      </w:r>
      <w:proofErr w:type="gramEnd"/>
      <w:r w:rsidRPr="004F7311">
        <w:rPr>
          <w:rFonts w:eastAsia="Times New Roman" w:cs="Tahoma"/>
          <w:i/>
          <w:iCs/>
          <w:color w:val="222222"/>
          <w:lang w:eastAsia="hu-HU"/>
        </w:rPr>
        <w:t>) </w:t>
      </w:r>
      <w:r w:rsidRPr="004F7311">
        <w:rPr>
          <w:rFonts w:eastAsia="Times New Roman" w:cs="Tahoma"/>
          <w:color w:val="222222"/>
          <w:lang w:eastAsia="hu-HU"/>
        </w:rPr>
        <w:t>az életvitel önállóságának meghatározásához szükséges mértékben a jövedelmi, vagyoni helyzetre,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9" w:name="pr1040"/>
      <w:bookmarkEnd w:id="9"/>
      <w:proofErr w:type="gramStart"/>
      <w:r w:rsidRPr="004F7311">
        <w:rPr>
          <w:rFonts w:eastAsia="Times New Roman" w:cs="Tahoma"/>
          <w:i/>
          <w:iCs/>
          <w:color w:val="222222"/>
          <w:lang w:eastAsia="hu-HU"/>
        </w:rPr>
        <w:t>g</w:t>
      </w:r>
      <w:proofErr w:type="gramEnd"/>
      <w:r w:rsidRPr="004F7311">
        <w:rPr>
          <w:rFonts w:eastAsia="Times New Roman" w:cs="Tahoma"/>
          <w:i/>
          <w:iCs/>
          <w:color w:val="222222"/>
          <w:lang w:eastAsia="hu-HU"/>
        </w:rPr>
        <w:t>) </w:t>
      </w:r>
      <w:r w:rsidRPr="004F7311">
        <w:rPr>
          <w:rFonts w:eastAsia="Times New Roman" w:cs="Tahoma"/>
          <w:color w:val="222222"/>
          <w:lang w:eastAsia="hu-HU"/>
        </w:rPr>
        <w:t>a lakhatás fizikai környezetének speciális szükségletére, a kommunikációs szükségletekre,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10" w:name="pr1041"/>
      <w:bookmarkEnd w:id="10"/>
      <w:proofErr w:type="gramStart"/>
      <w:r w:rsidRPr="004F7311">
        <w:rPr>
          <w:rFonts w:eastAsia="Times New Roman" w:cs="Tahoma"/>
          <w:i/>
          <w:iCs/>
          <w:color w:val="222222"/>
          <w:lang w:eastAsia="hu-HU"/>
        </w:rPr>
        <w:t>h</w:t>
      </w:r>
      <w:proofErr w:type="gramEnd"/>
      <w:r w:rsidRPr="004F7311">
        <w:rPr>
          <w:rFonts w:eastAsia="Times New Roman" w:cs="Tahoma"/>
          <w:i/>
          <w:iCs/>
          <w:color w:val="222222"/>
          <w:lang w:eastAsia="hu-HU"/>
        </w:rPr>
        <w:t>) </w:t>
      </w:r>
      <w:r w:rsidRPr="004F7311">
        <w:rPr>
          <w:rFonts w:eastAsia="Times New Roman" w:cs="Tahoma"/>
          <w:color w:val="222222"/>
          <w:lang w:eastAsia="hu-HU"/>
        </w:rPr>
        <w:t>annak felmérésére, hogy az élet mely területén szükséges a támogatás és milyen mértékben,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11" w:name="pr1042"/>
      <w:bookmarkEnd w:id="11"/>
      <w:r w:rsidRPr="004F7311">
        <w:rPr>
          <w:rFonts w:eastAsia="Times New Roman" w:cs="Tahoma"/>
          <w:i/>
          <w:iCs/>
          <w:color w:val="222222"/>
          <w:lang w:eastAsia="hu-HU"/>
        </w:rPr>
        <w:t>i) </w:t>
      </w:r>
      <w:r w:rsidRPr="004F7311">
        <w:rPr>
          <w:rFonts w:eastAsia="Times New Roman" w:cs="Tahoma"/>
          <w:color w:val="222222"/>
          <w:lang w:eastAsia="hu-HU"/>
        </w:rPr>
        <w:t>a speciális csoportoknak nyújtott egyéb támogatás bevonására vonatkozó szükségletre és annak mértékére,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12" w:name="pr1043"/>
      <w:bookmarkEnd w:id="12"/>
      <w:r w:rsidRPr="004F7311">
        <w:rPr>
          <w:rFonts w:eastAsia="Times New Roman" w:cs="Tahoma"/>
          <w:i/>
          <w:iCs/>
          <w:color w:val="222222"/>
          <w:lang w:eastAsia="hu-HU"/>
        </w:rPr>
        <w:t>j) </w:t>
      </w:r>
      <w:r w:rsidRPr="004F7311">
        <w:rPr>
          <w:rFonts w:eastAsia="Times New Roman" w:cs="Tahoma"/>
          <w:color w:val="222222"/>
          <w:lang w:eastAsia="hu-HU"/>
        </w:rPr>
        <w:t>a támogatási szükséglet időszakosságára vagy folyamatosságára,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13" w:name="pr1044"/>
      <w:bookmarkEnd w:id="13"/>
      <w:r w:rsidRPr="004F7311">
        <w:rPr>
          <w:rFonts w:eastAsia="Times New Roman" w:cs="Tahoma"/>
          <w:i/>
          <w:iCs/>
          <w:color w:val="222222"/>
          <w:lang w:eastAsia="hu-HU"/>
        </w:rPr>
        <w:lastRenderedPageBreak/>
        <w:t>k) </w:t>
      </w:r>
      <w:r w:rsidRPr="004F7311">
        <w:rPr>
          <w:rFonts w:eastAsia="Times New Roman" w:cs="Tahoma"/>
          <w:color w:val="222222"/>
          <w:lang w:eastAsia="hu-HU"/>
        </w:rPr>
        <w:t>folyamatosan nyújtott - általános és speciális - szociális munka esetében annak intenzitására, gyakoriságára, valamint az egészségügyi ellátáshoz, oktatáshoz és a foglalkoztatáshoz való hozzájutás megszervezésének igényére,</w:t>
      </w:r>
    </w:p>
    <w:p w:rsidR="00CE0061" w:rsidRPr="004F7311" w:rsidRDefault="00CE0061" w:rsidP="00CE0061">
      <w:pPr>
        <w:shd w:val="clear" w:color="auto" w:fill="FFFFFF"/>
        <w:spacing w:after="0" w:line="240" w:lineRule="auto"/>
        <w:ind w:left="150" w:right="150" w:firstLine="240"/>
        <w:jc w:val="both"/>
        <w:rPr>
          <w:rFonts w:eastAsia="Times New Roman" w:cs="Tahoma"/>
          <w:color w:val="222222"/>
          <w:lang w:eastAsia="hu-HU"/>
        </w:rPr>
      </w:pPr>
      <w:bookmarkStart w:id="14" w:name="pr1045"/>
      <w:bookmarkEnd w:id="14"/>
      <w:proofErr w:type="gramStart"/>
      <w:r w:rsidRPr="004F7311">
        <w:rPr>
          <w:rFonts w:eastAsia="Times New Roman" w:cs="Tahoma"/>
          <w:i/>
          <w:iCs/>
          <w:color w:val="222222"/>
          <w:lang w:eastAsia="hu-HU"/>
        </w:rPr>
        <w:t>l</w:t>
      </w:r>
      <w:proofErr w:type="gramEnd"/>
      <w:r w:rsidRPr="004F7311">
        <w:rPr>
          <w:rFonts w:eastAsia="Times New Roman" w:cs="Tahoma"/>
          <w:i/>
          <w:iCs/>
          <w:color w:val="222222"/>
          <w:lang w:eastAsia="hu-HU"/>
        </w:rPr>
        <w:t>) </w:t>
      </w:r>
      <w:r w:rsidRPr="004F7311">
        <w:rPr>
          <w:rFonts w:eastAsia="Times New Roman" w:cs="Tahoma"/>
          <w:color w:val="222222"/>
          <w:lang w:eastAsia="hu-HU"/>
        </w:rPr>
        <w:t>az egyén együttműködési szándékának felmérésére.</w:t>
      </w:r>
    </w:p>
    <w:p w:rsidR="00CE0061" w:rsidRDefault="00CE0061" w:rsidP="00E2764D">
      <w:pPr>
        <w:jc w:val="both"/>
      </w:pPr>
    </w:p>
    <w:p w:rsidR="00CE0061" w:rsidRDefault="00CE0061" w:rsidP="00CE0061">
      <w:pPr>
        <w:jc w:val="both"/>
      </w:pPr>
      <w:r>
        <w:t>A szociális igazgatásról és a szociális ellátásokról szóló 1993. évi III. törvény 75. §. (1)</w:t>
      </w:r>
      <w:r>
        <w:rPr>
          <w:b/>
        </w:rPr>
        <w:t xml:space="preserve"> </w:t>
      </w:r>
      <w:r w:rsidRPr="0009621C">
        <w:t xml:space="preserve">bekezdés </w:t>
      </w:r>
      <w:proofErr w:type="spellStart"/>
      <w:r w:rsidRPr="0009621C">
        <w:t>dd</w:t>
      </w:r>
      <w:proofErr w:type="spellEnd"/>
      <w:r w:rsidRPr="0009621C">
        <w:t>) pontja értelmében a</w:t>
      </w:r>
      <w:r w:rsidRPr="004F7311">
        <w:t>z</w:t>
      </w:r>
      <w:r>
        <w:rPr>
          <w:b/>
        </w:rPr>
        <w:t xml:space="preserve"> </w:t>
      </w:r>
      <w:r w:rsidRPr="0009621C">
        <w:t>önálló életvitel fenntartása, elősegítése érdekében igény esetén társadalmi életben való részvételt elősegítő szolgáltatásokat is biztosítja a támogatott lakhatást szolgáltató.</w:t>
      </w:r>
      <w:r>
        <w:t xml:space="preserve"> Ennek segítségével a szolgáltatást igénybevevő a mikroközösségek és a társadalom teljes értékű tagjává válhat.</w:t>
      </w:r>
    </w:p>
    <w:p w:rsidR="00CE0061" w:rsidRPr="00EA02BD" w:rsidRDefault="00CE0061" w:rsidP="00E2764D">
      <w:pPr>
        <w:jc w:val="both"/>
      </w:pPr>
    </w:p>
    <w:p w:rsidR="00E2764D" w:rsidRPr="00E2764D" w:rsidRDefault="00E2764D" w:rsidP="00E2764D">
      <w:pPr>
        <w:jc w:val="both"/>
        <w:rPr>
          <w:b/>
        </w:rPr>
      </w:pPr>
      <w:r w:rsidRPr="00E2764D">
        <w:rPr>
          <w:b/>
        </w:rPr>
        <w:t>- A kitagolás nem csak Magyarországon, hanem az egész Kelet-Közép-Európai régióban akadozva, töredékesen halad előre. A nemzetközi szakirodalomban konszenzus alakult ki arról, hogy a reform egyetlen országban sem vezetett átütő sikerhez a régióban, és a mai ellátórendszerek mind Magyarországon, mind a szomszédos országokban szerkezetében megegyeznek a hetvenes és nyolcvanas években kialakított struktúrával. Két kérdésem van ezzel kapcsolatban: Először, mivel magyarázza ezt a stagnálást? Másodszor, miben látja a szakmapolitika felelősségét?</w:t>
      </w:r>
    </w:p>
    <w:p w:rsidR="00E2764D" w:rsidRDefault="00175EEA" w:rsidP="00E2764D">
      <w:pPr>
        <w:jc w:val="both"/>
      </w:pPr>
      <w:r>
        <w:t xml:space="preserve">A támogatott lakhatási szolgáltatások száma folyamatosan emelkedik. </w:t>
      </w:r>
      <w:r w:rsidR="00E2764D">
        <w:t>A kiváltás első három évének megvalósítását szolgáló TIOP 3.4.1.</w:t>
      </w:r>
      <w:r w:rsidR="00CE0061">
        <w:t xml:space="preserve">-A </w:t>
      </w:r>
      <w:r w:rsidR="00E2764D">
        <w:t xml:space="preserve">keretében több mint 600 fő kiváltása történik </w:t>
      </w:r>
      <w:r w:rsidR="008020FF">
        <w:t xml:space="preserve">meg 2015. október 31-éig </w:t>
      </w:r>
      <w:r w:rsidR="00E2764D">
        <w:t xml:space="preserve">összesen 5,8 Mrd Ft támogatási összeggel. A fejlesztések megvalósítása </w:t>
      </w:r>
      <w:r>
        <w:t xml:space="preserve">jelenleg is </w:t>
      </w:r>
      <w:r w:rsidR="00E2764D">
        <w:t xml:space="preserve">folyamatban van. </w:t>
      </w:r>
      <w:r>
        <w:t xml:space="preserve">Ezzel párhuzamosan </w:t>
      </w:r>
      <w:r w:rsidR="008020FF">
        <w:t>zajlik a kiváltás második szakaszának előkészítése, ennek érdekében a</w:t>
      </w:r>
      <w:r w:rsidR="00E2764D">
        <w:t xml:space="preserve"> szaktárca összegezte a jelenleg futó pályázat tapasztalatait, ezek alapján tervezi a következő kiírás szakmai tartalmát. </w:t>
      </w:r>
    </w:p>
    <w:p w:rsidR="00E2764D" w:rsidRDefault="00E2764D" w:rsidP="00E2764D">
      <w:pPr>
        <w:jc w:val="both"/>
      </w:pPr>
      <w:r>
        <w:t>A</w:t>
      </w:r>
      <w:r w:rsidR="00175EEA">
        <w:t>z intézmények kiváltása mellett</w:t>
      </w:r>
      <w:r>
        <w:t xml:space="preserve"> 2013. január </w:t>
      </w:r>
      <w:r w:rsidR="00175EEA">
        <w:t xml:space="preserve">1. </w:t>
      </w:r>
      <w:r>
        <w:t xml:space="preserve">óta 440 engedélyezett férőhely jött létre támogatott lakhatás formájában.  </w:t>
      </w:r>
    </w:p>
    <w:p w:rsidR="00CE0061" w:rsidRDefault="00CE0061" w:rsidP="00E2764D">
      <w:pPr>
        <w:jc w:val="both"/>
      </w:pPr>
    </w:p>
    <w:p w:rsidR="00E2764D" w:rsidRPr="00E2764D" w:rsidRDefault="00E2764D" w:rsidP="00E2764D">
      <w:pPr>
        <w:jc w:val="both"/>
        <w:rPr>
          <w:b/>
        </w:rPr>
      </w:pPr>
      <w:r w:rsidRPr="00E2764D">
        <w:rPr>
          <w:b/>
        </w:rPr>
        <w:t>- A régió országai sok tekintetben hasonló cipőben járnak, és hasonló kritikát kapnak a nemzetközi intézményektől. Van-e bármilyen együttműködés akár a szomszédos országok némelyikével, akár a Visegrádi Együttműködés keretében arra vonatkozóan, hogy hatékonyabban kezeljék a problémákat, és felgyorsítsák végre a reformot?</w:t>
      </w:r>
    </w:p>
    <w:p w:rsidR="009173D8" w:rsidRPr="00CE0061" w:rsidRDefault="00E2764D" w:rsidP="007C27F7">
      <w:pPr>
        <w:jc w:val="both"/>
      </w:pPr>
      <w:r>
        <w:t>A szaktárca és több kiváltásra kerülő intézmény is szakmai kapcsolatban van elismert nemzetközi szakértőkkel, illetve támogatott lakhatást nyújtó szolgáltatókkal.</w:t>
      </w:r>
      <w:r w:rsidR="00F46798">
        <w:t xml:space="preserve"> A Szociális Ügyekért és Társadalmi Felzárkózásért Felelős Államtitkárság elkötelezett a területet érintő szakmai együttműködések iránt</w:t>
      </w:r>
      <w:r w:rsidR="007C27F7">
        <w:t xml:space="preserve">. Erre biztosítanak fórumot az olyan szakmai események, konferenciák, mint a 2015. március 25-26. között megrendezésre került Páciens, Kliens, Partner - Értékalapú megközelítés a </w:t>
      </w:r>
      <w:proofErr w:type="spellStart"/>
      <w:r w:rsidR="007C27F7">
        <w:t>pszichoszociálisan</w:t>
      </w:r>
      <w:proofErr w:type="spellEnd"/>
      <w:r w:rsidR="007C27F7">
        <w:t xml:space="preserve"> sérült emberek </w:t>
      </w:r>
      <w:proofErr w:type="gramStart"/>
      <w:r w:rsidR="007C27F7">
        <w:t>támogatásában című</w:t>
      </w:r>
      <w:proofErr w:type="gramEnd"/>
      <w:r w:rsidR="007C27F7">
        <w:t xml:space="preserve"> nemzetközi konferencia, melyen külföldi szakértők és az Európai </w:t>
      </w:r>
      <w:r w:rsidR="007C27F7" w:rsidRPr="00CE0061">
        <w:t xml:space="preserve">Bizottság </w:t>
      </w:r>
      <w:r w:rsidR="007C27F7" w:rsidRPr="004F7311">
        <w:t>Foglalkoztatás, Szociális Ügyek és Társadalmi Befogadás Főigazgatóságának képviselője is részt vett.</w:t>
      </w:r>
    </w:p>
    <w:sectPr w:rsidR="009173D8" w:rsidRPr="00CE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D27"/>
    <w:multiLevelType w:val="hybridMultilevel"/>
    <w:tmpl w:val="9F24920A"/>
    <w:lvl w:ilvl="0" w:tplc="ECA06E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E1B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E67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D3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81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F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AA0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02E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C3B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348A5"/>
    <w:multiLevelType w:val="hybridMultilevel"/>
    <w:tmpl w:val="4B1A8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E1B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E67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4D3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819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F0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AA0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02E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C3B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D"/>
    <w:rsid w:val="000E2FC1"/>
    <w:rsid w:val="00175EEA"/>
    <w:rsid w:val="004F7311"/>
    <w:rsid w:val="007C27F7"/>
    <w:rsid w:val="007D6D59"/>
    <w:rsid w:val="008020FF"/>
    <w:rsid w:val="009173D8"/>
    <w:rsid w:val="009768FE"/>
    <w:rsid w:val="009A1551"/>
    <w:rsid w:val="00AF14B5"/>
    <w:rsid w:val="00C81619"/>
    <w:rsid w:val="00CB3F02"/>
    <w:rsid w:val="00CE0061"/>
    <w:rsid w:val="00D2531C"/>
    <w:rsid w:val="00E2764D"/>
    <w:rsid w:val="00E40426"/>
    <w:rsid w:val="00EA02BD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E2F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F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F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F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F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FC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F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14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F1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E2F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F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F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F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F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FC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F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F14B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F1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Mádai Adrienn</dc:creator>
  <cp:lastModifiedBy>Mádai Adrienn</cp:lastModifiedBy>
  <cp:revision>2</cp:revision>
  <dcterms:created xsi:type="dcterms:W3CDTF">2015-04-01T12:18:00Z</dcterms:created>
  <dcterms:modified xsi:type="dcterms:W3CDTF">2015-04-01T12:18:00Z</dcterms:modified>
</cp:coreProperties>
</file>