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 sárga színnel kiemelt részek Önnek szólnak -- ezeket törölje, mielőtt a kifogást benyújtja!</w:t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Területi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Választási Bizottság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részére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Postacím:</w:t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cím: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Az elérhetőségeket itt megtalálja: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http://www.valasztas.hu/elerhetosegek</w:t>
        </w:r>
      </w:hyperlink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(a kereső “szerv típus” mezőjében válassza a “Vármegye (TVB, TVI)” típust)</w:t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kifogást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e-mailben is elküldheti, de a postacímet tüntesse fel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hogy ez alapján beazonosítható legyen melyik választókerületi választási bizottságnak címezte a kifogását.</w:t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Figyelem!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60" w:before="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benyújtás határideje a sajtótermék megjelenésének időpontját követő harmadik nap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16:00!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60" w:before="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nyomtatott sajtótermék oldalhű elektronikus változatában elkövetett jogsértés esetén a kifogás benyújtásának határideje ugyanúgy a nyomtatott sajtótermék megjelenésének időpontját követő harmadik nap!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60" w:before="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jogszabálysértés napja a határidőbe nem számít bele.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60" w:before="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Nem az számít, Ön mikor értesült a jogsértésről, hanem az, hogy az mikor történt meg!</w:t>
      </w:r>
    </w:p>
    <w:p w:rsidR="00000000" w:rsidDel="00000000" w:rsidP="00000000" w:rsidRDefault="00000000" w:rsidRPr="00000000" w14:paraId="0000000C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Kifogás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Amelyben kifogásolom, hogy………………(magánszemély vagy jogi személy [párt, egyesület, állami-, önkormányzati szerv vagy szervezet, stb.]) (továbbiakban: bepanaszolt) a 2024. évi európai parlamenti és önkormányzati választáshoz kapcsolódó kampányban jogszerűtlen, erkölcstelen módon járt el.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ADATAIM: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Pontosan, az okiratairól másolva töltse ki! Minden, itt szereplő adatot adjon meg!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Név: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Lakcím: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Postai értesítési cím: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Személyi azonosító szám: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Telefonszáma: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Email címe: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Figyelem!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személyi azonosító száma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nem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személyi igazolvány száma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hanem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lakcímkártyán található 11 számjegyű szám. Pl.: 1-950901-9856. Ha Ön külföldön él és nem rendelkezik lakcímkártyával, akkor a magyar állampolgárságát igazoló okirat típusát és számát írja be helyette.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Válassza ki, hogy az alábbiak közül mire alapozza a beadványt. A többi bekezdést törölje ki!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bepanaszolt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(Ide írja a jelölt, jelölőszervezet nevét, aki mellett az önkormányzati lap, vagy helyi kábeltévé kampányolt!)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érdekében jogsértő kampánytevékenységet folytatott.</w:t>
      </w:r>
    </w:p>
    <w:p w:rsidR="00000000" w:rsidDel="00000000" w:rsidP="00000000" w:rsidRDefault="00000000" w:rsidRPr="00000000" w14:paraId="00000020">
      <w:pPr>
        <w:spacing w:after="5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c) pontját, mivel megakadályozza az e pontban foglalt választási eljárási alapelv érvényre jutását.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bepanaszolt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yellow"/>
          <w:rtl w:val="0"/>
        </w:rPr>
        <w:t xml:space="preserve">(Ide írja a jelölt, jelölőszervezet nevét, akiről nem tájékoztatott az önkormányzati lap, vagy helyi kábeltévé!)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jelöltnek/ jelölőszervezetnek nem biztosított megjelenési lehetőséget, önkormányzati választásokon való indulásáról, programjáról nem nyújtott tájékoztatást.</w:t>
      </w:r>
    </w:p>
    <w:p w:rsidR="00000000" w:rsidDel="00000000" w:rsidP="00000000" w:rsidRDefault="00000000" w:rsidRPr="00000000" w14:paraId="00000022">
      <w:pPr>
        <w:spacing w:after="5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c) pontját, mivel megakadályozza az e pontban foglalt választási eljárási alapelv érvényre jutását.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bepanaszolt egyoldalúan tájékoztatta olvasóközönségét az önkormányzati választásokon induló jelöltekről, jelölőszervezetekről.</w:t>
      </w:r>
    </w:p>
    <w:p w:rsidR="00000000" w:rsidDel="00000000" w:rsidP="00000000" w:rsidRDefault="00000000" w:rsidRPr="00000000" w14:paraId="00000024">
      <w:pPr>
        <w:spacing w:after="5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c) pontját, mivel megakadályozza az e pontban foglalt választási eljárási alapelv érvényre jutását.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bepanaszolt az állami vagy önkormányzati infrastruktúrát, közhivatali erőforrásokat – pl. irodát, nyomtatót, munkaidőt, más célra való állami nyilvántartásokat – használta fel a kampányolásra.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5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e) pontját, mivel megakadályozza az e pontban foglalt választási eljárási alapelv érvényre jutását (Pest Megyei Bíróság 2.Kpk.26.992/2002/2. számú végzése, Szabolcs-Szatmár-Bereg Megyei Bíróság 2. KvK.20.711/2006/2.számú végzése, Szabolcs-Szatmár-Bereg Megyei Bíróság Pk.20.724/2002/2.számú végzése)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Csatolom a bizonyítékokat (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Ide írja be, hogy milyen típusú bizonyítékot csatol! pl. screenshot / újságcikk / fénykép stb.)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amelyek a fent ismertetett tényállást igazolják.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a T. Választási Bizottságot, hogy</w:t>
      </w:r>
    </w:p>
    <w:p w:rsidR="00000000" w:rsidDel="00000000" w:rsidP="00000000" w:rsidRDefault="00000000" w:rsidRPr="00000000" w14:paraId="0000002A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állapítsa meg, hogy a bepanaszolt általam kifogásolt magatartásával megsértette a választási eljárás fent megjelölt eljárási alapelveit és</w:t>
      </w:r>
    </w:p>
    <w:p w:rsidR="00000000" w:rsidDel="00000000" w:rsidP="00000000" w:rsidRDefault="00000000" w:rsidRPr="00000000" w14:paraId="0000002B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kötelezze a médiatartalom-szolgáltatót, hogy határozata rendelkező részét a Ve. 152.§ (1) bekezdése értelmében tegye közzé</w:t>
      </w:r>
    </w:p>
    <w:p w:rsidR="00000000" w:rsidDel="00000000" w:rsidP="00000000" w:rsidRDefault="00000000" w:rsidRPr="00000000" w14:paraId="0000002C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tiltsa el a bepanaszoltat a további jogsértéstől továbbá</w:t>
      </w:r>
    </w:p>
    <w:p w:rsidR="00000000" w:rsidDel="00000000" w:rsidP="00000000" w:rsidRDefault="00000000" w:rsidRPr="00000000" w14:paraId="0000002D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szabjon ki a jogszabály-sértéssel arányban álló bírságot a bepanaszoltra a Ve. 152. § (2) bekezdésében foglalt felhatalmazásával élve.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Tisztelettel: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Kelt:.................., 2024……………………..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1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alasztas.hu/elerhetosegek" TargetMode="External"/><Relationship Id="rId8" Type="http://schemas.openxmlformats.org/officeDocument/2006/relationships/hyperlink" Target="http://www.valasztas.hu/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6xZCz9t7ulVTnci6eWwofxsHQ==">CgMxLjA4AHIhMVpOemN2R0ZHNmxsWGtxNnFLdWtEWjcxR0lERnIwRlFm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2024-02-14T10:30:00Z</dcterms:created>
  <dc:creator>Nóri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542bbf0656701b2d097f0598fb9772798de741726f6267d37f6fc4ac409859c4</vt:lpwstr>
  </property>
  <property fmtid="{D5CDD505-2E9C-101B-9397-08002B2CF9AE}" pid="3" name="GrammarlyDocumentId">
    <vt:lpwstr>542bbf0656701b2d097f0598fb9772798de741726f6267d37f6fc4ac409859c4</vt:lpwstr>
  </property>
</Properties>
</file>