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 cím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2024.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önkormányzati képviselők és polgármesterek választásán [kérjük, a megfelelőt hagyja bent]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jelölő szervezet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cselekvés.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történt, hol történt, és ha az tudható, ki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Önmagában az, hogy a jogsértés elkövetője nem ismert, nem akadálya a kifogás benyújtásának, ilyenkor arra kell utalni a tényállásban, hogy az elkövető ismeretlen.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tényállás leírásához bizonyítékot is kell csatolni, ennek hiányában a kifogást érdemi vizsgálat nélkül el fogja utasítani a választási bizottság. Amennyiben készült bármilyen hang-, videó-, stb. felvétel a jogsértésről, akkor azt csatolni szükséges. A képfelvételen vagy videón a helyszínnek is jól beazonosíthatónak kell lennie. A kép- vagy videófelvétel mellett vagy helyett a jogsértést tanúsító személyektől, szemtanúktól olyan nyilatkozatot kell csatolni a kifogáshoz, amely alátámasztja a tényállást.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Ha a bizonyíték (pl. videofelvétel vagy fénykép) az interneten elérhető, akkor elegendő csak a bizonyíték linkjét feltüntetni a kifogásban.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csatolt nyilatkozat szerint 2024. április 29. napján, 15 óra 34 perckor Példa József a Példa Pártnak gyűjtött aláírást az M2 metróvonal szerelvényén.”]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történésre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2024. április 29-én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került sor, a kifogás benyújtására a Ve. 209. § (1) bekezdése szerint nyitva álló, háromnapos határidő megtartottnak tekintendő.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az adott napon történt.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Egyszeri jogsértés esetén a jogorvoslati határidő az elkövetéstől számított három nap. A jogorvoslati határidőn belül a kifogásnak meg kell érkeznie a választási bizottsághoz, függetlenül attól, hogy a harmadik nap munkanapnak, pihenőnapnak vagy munkaszüneti napnak minősül. A határidő a harmadik nap 16 órakor jár le.]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tényállás minősítése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Ve. 123. § (2) bekezdése tételesen felsorolja, hogy hol nem gyűjthető ajánlás. Ugyanezen szakasz (4) bekezdése alapján érvénytelen a tilalom ellenére gyűjtött ajánlás.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 fenti történés jogszabályi minősítése. Ez legyen tömör és lényegre törő. A minősítésnek mindenképpen tartalmaznia kell tételesen, hogy a tényállás a Ve., vagy más jogszabály melyik rendelkezésének sérelmét valósítja meg a kifogás benyújtója szerint. A jogszabályi rendelkezés megjelölése ugyanakkor önmagában nem elegendő, azt is szükséges megindokolni, hogy miért sértette a megjelölt jogszabályt a kifogás tárgyává tett magatartás.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kifogástevő álláspontja szerint az ajánlás gyűjtői megsértették a Ve. 123. § (2) bekezdés c) pontját, mivel tömegközlekedési eszközön gyűjtöttek ajánlást, amelyet a jogszabály kifejezetten tilt.”]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meg; b) pontja szerint a jogsértőt tiltsa el további jogsértéstől.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kifogás része, hogy kifejtse, mit szeretne, mi történjen a sikeres kifogás nyomán. A lehetséges jogkövetkezményeket a Ve. 218. § (2) bekezdés tartalmazza.]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kifogást a kifogástevő a Ve. 212. § (1) bekezdésének megfelelően elektronikus levélben eljuttatva nyújtja be, csatolva ahhoz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során]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2024. április 30.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Tisztelettel,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