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cím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 vagy mulasztás.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videofelvétellel alátámasztottan Példa István, a Példa Párt jelölő-szervezet polgármesterjelöltje 2024. május 9. napján 15 óra 10 perc és 15 óra 15 perc között beszédet tartott a Példa Általános Iskolában.”]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május 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Egyszeri jogsértés esetén a jogorvoslati határidő az elkövetéstől számított három nap. A jogorvoslati határidőn belül a kifogásnak meg kell érkeznie a választási bizottsághoz, függetlenül attól, hogy a harmadik nap munkanapnak, pihenőnapnak vagy munkaszüneti napnak minősül. A határidő a harmadik nap 16 órakor jár le.]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Ve. 140. § alapján minden olyan tevékenység kampánytevékenység, amely alkalmas a választói akarat befolyásolására. A fent leírt cselekmény ez alapján egyértelműen kampánytevékenységnek minősül, mivel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Példa István, a Példa Párt jelölő-szervezet polgármesterjelöltje, akinek nyilvános szereplése alkalmas arra, hogy a választópolgárokban őt kedvezőbb színben tüntesse fel.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nemzeti köznevelésről szóló 2011. évi CXC. törvény (a továbbiakban: “Nkt.”) 24. § (3) bekezdése kifejezetten tilalmazza, hogy köznevelési intézmény területén politikai tevékenységet folytassanak. Ezen túlmenően azzal, hogy a jogsértést elkövető jelölt a többi, jogsértést el nem követő jelölthöz képest előnyhöz jutott, sérült a Ve. 2. § (1) bekezdés c) pontjában foglalt esélyegyenlőség alapelve is, valamint azzal, hogy a jelölt a kampánytevékenység folytatásához való jogát jogszabálysértően gyakorolta, megsértette a Ve. 2. § (1) bekezdés e) pontjában foglalt jóhiszemű és rendeltetésszerű joggyakorlás alapelvét. Ezzel összefüggésben hivatkozik a kifogástevő arra is, hogy a Nemzeti Választási Bizottság (a továbbiakban: NVB) többek között a 684/2018. számú határozatában megállapítja, hogy az Nkt. 24. § (3) bekezdés egyben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 [...] – a Kúria és a követett NVB gyakorlat szerint is – a Ve. 2. § (1) bekezdés c) és e) pontjának sérelmét jelenti.”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hivatkozik az Alkotmánybíróságnak a Ve. 2018-ban módosított 142. § és a kampánytevékenység fogalmát meghatározó 141. § kapcsolatát értelmező gyakorlatára is. A testület megállapította,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„[a] hivatalban lévő érintett személynek, ha egyben jelöltként is indul a választásokon, számolnia kell azzal, hogy a választópolgárok szemében a hivatalos minőségben történő megjelenés és a jelölti minőség nem minden esetben választható el egymástól, az szükségképpen összekapcsolódhat. Így amikor az érintett személy kampányidőszakban látja el – nyilvánosság előtt – hivatali tevékenységét, és ezáltal adott esetben a választási kampány részévé teszi azt a jelen lévőkön kívüli nyilvánosság felé közvetítéssel, vagyis a nyilvánosság megtöbbszörözésével, be kell tartania a Ve. alapelveit is, mivel azok esetleges megsértése esetén számolnia kell annak jogkövetkezményeivel. A határvonalat a Ve. 141. § szerinti »kampányidőszakban folytatott tevékenység« és a Ve. 142. §-a szerinti, jogszabályban meghatározott feladat során végzett tevékenység között esetenként, az adott cselekmény összes körülményeinek figyelembe vételével lehet meghúzni.”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{3256/2019. (X. 30.) [27]-[28] bekezdések}. A konkrét esetben az Alkotmánybíróság az adott személy polgármesteri és jelölti státuszának összeütközése kapcsán fejtette ki mindezt, azonban kérelmező álláspontja szerint megfelelően alkalmazandó jelen esetben is.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Alkotmánybíróság külön szempontként értékelte azt, ha az állami (önkormányzati) szerep és a jelölti szerep keveredésének eredményeképpen gyermekek is részesei leszek a kampánynak. A testület értelmezésében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„a Ve. szabályai nem értelmezhetők úgy, mintha gyermekek bevonása a kampánytevékenységbe a köznevelési törvény hivatkozott rendelkezése ellenére megengedett lenne. Ha tehát hivatalban lévő és a kampánnyal érintett (a választásokon jelöltként induló) polgármester vagy önkormányzati képviselő közfeladatának ellátása során nevelési-oktatási intézményben jelenik meg, vagy más módon, de nevelési-oktatási intézmény felügyelete alatt álló gyermekek részvételével zajló eseményen vesz részt, akkor a saját felelősségére esik, hogy az esemény ne váljék a kampány, mint politikai tevékenység részévé.”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{3256/2019. (X. 30.) [29] bekezdés}.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jogsértéstől; valamint d) pontja szerint a jogsértés elkövetőjére szabjon ki bírságot.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tartalmazza, az itt felsoroltak közül egyet is (például: csak a jogsértés megállapítása), de akár többet is kérhet egyszerre, mint ahogy az előbbi példa is mutatja.]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során]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május 10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Tisztelettel,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