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[Kérjük, hogy a sárgával jelölt részeket töltse ki az azokban szereplő instrukciók szerint. Ügyeljen rá, hogy a beadott kifogásban ne maradjanak sárgával jelölt részek]</w:t>
      </w:r>
      <w:r w:rsidDel="00000000" w:rsidR="00000000" w:rsidRPr="00000000">
        <w:rPr>
          <w:rtl w:val="0"/>
        </w:rPr>
      </w:r>
    </w:p>
    <w:p w:rsidR="00000000" w:rsidDel="00000000" w:rsidP="00000000" w:rsidRDefault="00000000" w:rsidRPr="00000000" w14:paraId="00000002">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rtl w:val="0"/>
        </w:rPr>
        <w:t xml:space="preserve"> Választási Bizottság részére</w:t>
      </w:r>
    </w:p>
    <w:p w:rsidR="00000000" w:rsidDel="00000000" w:rsidP="00000000" w:rsidRDefault="00000000" w:rsidRPr="00000000" w14:paraId="00000003">
      <w:pPr>
        <w:shd w:fill="ffffff" w:val="clear"/>
        <w:spacing w:befor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Település</w:t>
      </w:r>
    </w:p>
    <w:p w:rsidR="00000000" w:rsidDel="00000000" w:rsidP="00000000" w:rsidRDefault="00000000" w:rsidRPr="00000000" w14:paraId="0000000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[Számos helyi választási bizottság elérhetőségét megtalálja </w:t>
      </w:r>
      <w:hyperlink r:id="rId6">
        <w:r w:rsidDel="00000000" w:rsidR="00000000" w:rsidRPr="00000000">
          <w:rPr>
            <w:rFonts w:ascii="Times New Roman" w:cs="Times New Roman" w:eastAsia="Times New Roman" w:hAnsi="Times New Roman"/>
            <w:color w:val="1155cc"/>
            <w:sz w:val="24"/>
            <w:szCs w:val="24"/>
            <w:highlight w:val="yellow"/>
            <w:u w:val="single"/>
            <w:rtl w:val="0"/>
          </w:rPr>
          <w:t xml:space="preserve">ezen a linken</w:t>
        </w:r>
      </w:hyperlink>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06">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Arról, hogy melyik választási bizottsághoz kell benyújtania </w:t>
      </w:r>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06. kérdésénél talál információt.]</w:t>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Tisztelt Választási Bizottság!</w:t>
      </w:r>
    </w:p>
    <w:p w:rsidR="00000000" w:rsidDel="00000000" w:rsidP="00000000" w:rsidRDefault="00000000" w:rsidRPr="00000000" w14:paraId="0000000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VÁLTOZAT #1</w:t>
      </w:r>
      <w:r w:rsidDel="00000000" w:rsidR="00000000" w:rsidRPr="00000000">
        <w:rPr>
          <w:rFonts w:ascii="Times New Roman" w:cs="Times New Roman" w:eastAsia="Times New Roman" w:hAnsi="Times New Roman"/>
          <w:sz w:val="24"/>
          <w:szCs w:val="24"/>
          <w:highlight w:val="yellow"/>
          <w:rtl w:val="0"/>
        </w:rPr>
        <w:t xml:space="preserve"> ha választópolgár nyújtja be a kifogást</w:t>
      </w:r>
      <w:r w:rsidDel="00000000" w:rsidR="00000000" w:rsidRPr="00000000">
        <w:rPr>
          <w:rtl w:val="0"/>
        </w:rPr>
      </w:r>
    </w:p>
    <w:p w:rsidR="00000000" w:rsidDel="00000000" w:rsidP="00000000" w:rsidRDefault="00000000" w:rsidRPr="00000000" w14:paraId="0000000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(személyi azonosító: </w:t>
      </w:r>
      <w:r w:rsidDel="00000000" w:rsidR="00000000" w:rsidRPr="00000000">
        <w:rPr>
          <w:rFonts w:ascii="Times New Roman" w:cs="Times New Roman" w:eastAsia="Times New Roman" w:hAnsi="Times New Roman"/>
          <w:sz w:val="24"/>
          <w:szCs w:val="24"/>
          <w:highlight w:val="yellow"/>
          <w:rtl w:val="0"/>
        </w:rPr>
        <w:t xml:space="preserve">X-XXXXXX-XXXX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személyi azonosító a lakcímkártyán található tipikusan egyes vagy kettes számmal kezdődő számsor, régi nevén a személyi szám, ezt kell feltüntetni a kifogásban kötelezően, nem a személyi igazolvány számát! Bővebb információt a személyi azonosítóról </w:t>
      </w:r>
      <w:hyperlink r:id="rId8">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08. kérdésénél talál]</w:t>
      </w:r>
      <w:r w:rsidDel="00000000" w:rsidR="00000000" w:rsidRPr="00000000">
        <w:rPr>
          <w:rFonts w:ascii="Times New Roman" w:cs="Times New Roman" w:eastAsia="Times New Roman" w:hAnsi="Times New Roman"/>
          <w:sz w:val="24"/>
          <w:szCs w:val="24"/>
          <w:rtl w:val="0"/>
        </w:rPr>
        <w:t xml:space="preserve">; lakcím: </w:t>
      </w:r>
      <w:r w:rsidDel="00000000" w:rsidR="00000000" w:rsidRPr="00000000">
        <w:rPr>
          <w:rFonts w:ascii="Times New Roman" w:cs="Times New Roman" w:eastAsia="Times New Roman" w:hAnsi="Times New Roman"/>
          <w:sz w:val="24"/>
          <w:szCs w:val="24"/>
          <w:highlight w:val="yellow"/>
          <w:rtl w:val="0"/>
        </w:rPr>
        <w:t xml:space="preserve">[LAKCÍM]</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 központi névjegyzékben szereplő választópolgár a választási eljárásról szóló 2013. évi XXXVI. törvény (a továbbiakban: Ve.) 208. § alapján az alábbi jogszabálysértés miatt kifogást nyújtok be.</w:t>
      </w:r>
    </w:p>
    <w:p w:rsidR="00000000" w:rsidDel="00000000" w:rsidP="00000000" w:rsidRDefault="00000000" w:rsidRPr="00000000" w14:paraId="0000000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VÁLTOZAT #2</w:t>
      </w:r>
      <w:r w:rsidDel="00000000" w:rsidR="00000000" w:rsidRPr="00000000">
        <w:rPr>
          <w:rFonts w:ascii="Times New Roman" w:cs="Times New Roman" w:eastAsia="Times New Roman" w:hAnsi="Times New Roman"/>
          <w:sz w:val="24"/>
          <w:szCs w:val="24"/>
          <w:highlight w:val="yellow"/>
          <w:rtl w:val="0"/>
        </w:rPr>
        <w:t xml:space="preserve"> ha az adott választásra jogerősen nyilvántartásba vett jelölő szervezet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highlight w:val="yellow"/>
          <w:rtl w:val="0"/>
        </w:rPr>
        <w:t xml:space="preserve">[SZERVEZET NEVE]</w:t>
      </w:r>
      <w:r w:rsidDel="00000000" w:rsidR="00000000" w:rsidRPr="00000000">
        <w:rPr>
          <w:rFonts w:ascii="Times New Roman" w:cs="Times New Roman" w:eastAsia="Times New Roman" w:hAnsi="Times New Roman"/>
          <w:sz w:val="24"/>
          <w:szCs w:val="24"/>
          <w:rtl w:val="0"/>
        </w:rPr>
        <w:t xml:space="preserve"> (nyilvántartási szám: </w:t>
      </w:r>
      <w:r w:rsidDel="00000000" w:rsidR="00000000" w:rsidRPr="00000000">
        <w:rPr>
          <w:rFonts w:ascii="Times New Roman" w:cs="Times New Roman" w:eastAsia="Times New Roman" w:hAnsi="Times New Roman"/>
          <w:sz w:val="24"/>
          <w:szCs w:val="24"/>
          <w:highlight w:val="yellow"/>
          <w:rtl w:val="0"/>
        </w:rPr>
        <w:t xml:space="preserve">XX-02-XXXXXXX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nyilvántartási szám egyesületek/pártok esetében a</w:t>
      </w:r>
      <w:hyperlink r:id="rId9">
        <w:r w:rsidDel="00000000" w:rsidR="00000000" w:rsidRPr="00000000">
          <w:rPr>
            <w:rFonts w:ascii="Times New Roman" w:cs="Times New Roman" w:eastAsia="Times New Roman" w:hAnsi="Times New Roman"/>
            <w:sz w:val="24"/>
            <w:szCs w:val="24"/>
            <w:highlight w:val="yellow"/>
            <w:rtl w:val="0"/>
          </w:rPr>
          <w:t xml:space="preserve"> https://birosag.hu/civil-szervezetek-nevjegyzeke</w:t>
        </w:r>
      </w:hyperlink>
      <w:r w:rsidDel="00000000" w:rsidR="00000000" w:rsidRPr="00000000">
        <w:rPr>
          <w:rFonts w:ascii="Times New Roman" w:cs="Times New Roman" w:eastAsia="Times New Roman" w:hAnsi="Times New Roman"/>
          <w:sz w:val="24"/>
          <w:szCs w:val="24"/>
          <w:highlight w:val="yellow"/>
          <w:rtl w:val="0"/>
        </w:rPr>
        <w:t xml:space="preserve"> oldalról lekérdezhető, az nem azonos a lajstromszámmal vagy az adószámmal, hanem a fenti formátumot követi!]</w:t>
      </w:r>
      <w:r w:rsidDel="00000000" w:rsidR="00000000" w:rsidRPr="00000000">
        <w:rPr>
          <w:rFonts w:ascii="Times New Roman" w:cs="Times New Roman" w:eastAsia="Times New Roman" w:hAnsi="Times New Roman"/>
          <w:sz w:val="24"/>
          <w:szCs w:val="24"/>
          <w:rtl w:val="0"/>
        </w:rPr>
        <w:t xml:space="preserve">; székhely: </w:t>
      </w:r>
      <w:r w:rsidDel="00000000" w:rsidR="00000000" w:rsidRPr="00000000">
        <w:rPr>
          <w:rFonts w:ascii="Times New Roman" w:cs="Times New Roman" w:eastAsia="Times New Roman" w:hAnsi="Times New Roman"/>
          <w:sz w:val="24"/>
          <w:szCs w:val="24"/>
          <w:highlight w:val="yellow"/>
          <w:rtl w:val="0"/>
        </w:rPr>
        <w:t xml:space="preserve">[SZÉKHELY]</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az Európai Parlament tagjai, a helyi önkormányzati képviselők és polgármesterek, valamint a nemzetiségi önkormányzati képviselők közös eljárásban tartott 2024 évi általános választásán az </w:t>
      </w:r>
      <w:r w:rsidDel="00000000" w:rsidR="00000000" w:rsidRPr="00000000">
        <w:rPr>
          <w:rFonts w:ascii="Times New Roman" w:cs="Times New Roman" w:eastAsia="Times New Roman" w:hAnsi="Times New Roman"/>
          <w:sz w:val="24"/>
          <w:szCs w:val="24"/>
          <w:highlight w:val="yellow"/>
          <w:rtl w:val="0"/>
        </w:rPr>
        <w:t xml:space="preserve">Európai Parlament tagjainak választásán / a helyi önkormányzati képviselők és polgármesterek választásán [kérjük, a megfelelőt hagyja bent]</w:t>
      </w:r>
      <w:r w:rsidDel="00000000" w:rsidR="00000000" w:rsidRPr="00000000">
        <w:rPr>
          <w:rFonts w:ascii="Times New Roman" w:cs="Times New Roman" w:eastAsia="Times New Roman" w:hAnsi="Times New Roman"/>
          <w:sz w:val="24"/>
          <w:szCs w:val="24"/>
          <w:rtl w:val="0"/>
        </w:rPr>
        <w:t xml:space="preserve"> jogerősen nyilvántartásba vett jelölő szervezet a választási eljárásról szóló 2013. évi XXXVI. törvény (a továbbiakban: Ve.) 208. § alapján az alábbi jogszabálysértés miatt kifogást nyújtok be.</w:t>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kifogást</w:t>
      </w:r>
    </w:p>
    <w:p w:rsidR="00000000" w:rsidDel="00000000" w:rsidP="00000000" w:rsidRDefault="00000000" w:rsidRPr="00000000" w14:paraId="00000010">
      <w:pPr>
        <w:spacing w:after="1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terjesztek elő, amelyben kifogásolom, hogy </w:t>
      </w:r>
      <w:r w:rsidDel="00000000" w:rsidR="00000000" w:rsidRPr="00000000">
        <w:rPr>
          <w:rFonts w:ascii="Times New Roman" w:cs="Times New Roman" w:eastAsia="Times New Roman" w:hAnsi="Times New Roman"/>
          <w:sz w:val="24"/>
          <w:szCs w:val="24"/>
          <w:highlight w:val="yellow"/>
          <w:rtl w:val="0"/>
        </w:rPr>
        <w:t xml:space="preserve">……………….. (polgármester neve)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………………….(település neve)</w:t>
      </w:r>
      <w:r w:rsidDel="00000000" w:rsidR="00000000" w:rsidRPr="00000000">
        <w:rPr>
          <w:rFonts w:ascii="Times New Roman" w:cs="Times New Roman" w:eastAsia="Times New Roman" w:hAnsi="Times New Roman"/>
          <w:sz w:val="24"/>
          <w:szCs w:val="24"/>
          <w:rtl w:val="0"/>
        </w:rPr>
        <w:t xml:space="preserve"> polgármestere (a továbbiakban: bepanaszolt) a 2024. évi </w:t>
      </w:r>
      <w:r w:rsidDel="00000000" w:rsidR="00000000" w:rsidRPr="00000000">
        <w:rPr>
          <w:rFonts w:ascii="Times New Roman" w:cs="Times New Roman" w:eastAsia="Times New Roman" w:hAnsi="Times New Roman"/>
          <w:sz w:val="24"/>
          <w:szCs w:val="24"/>
          <w:highlight w:val="yellow"/>
          <w:rtl w:val="0"/>
        </w:rPr>
        <w:t xml:space="preserve">Európai Parlament tagjainak választásán / a helyi önkormányzati képviselők és polgármesterek választásán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választásához kapcsolódó kampányban jogszerűtlen módon járt el és a lent részletezettek szerint megsértette a választási eljárásról szóló 2013. évi XXXVI. törvény (a továbbiakban: Ve.) 2. § (1) bekezdés a) (a választások tisztaságának megóvása),  c) (jelöltek és jelölő szervezetek közötti esélyegyenlősége) és e) (jóhiszemű és rendeltetésszerű joggyakorlás) pontjában megjelölt alapelveket.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Tényállás</w:t>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………….(polgármester neve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 (település neve)</w:t>
      </w:r>
      <w:r w:rsidDel="00000000" w:rsidR="00000000" w:rsidRPr="00000000">
        <w:rPr>
          <w:rFonts w:ascii="Times New Roman" w:cs="Times New Roman" w:eastAsia="Times New Roman" w:hAnsi="Times New Roman"/>
          <w:sz w:val="24"/>
          <w:szCs w:val="24"/>
          <w:rtl w:val="0"/>
        </w:rPr>
        <w:t xml:space="preserve"> polgármestere </w:t>
      </w:r>
      <w:r w:rsidDel="00000000" w:rsidR="00000000" w:rsidRPr="00000000">
        <w:rPr>
          <w:rFonts w:ascii="Times New Roman" w:cs="Times New Roman" w:eastAsia="Times New Roman" w:hAnsi="Times New Roman"/>
          <w:sz w:val="24"/>
          <w:szCs w:val="24"/>
          <w:highlight w:val="yellow"/>
          <w:rtl w:val="0"/>
        </w:rPr>
        <w:t xml:space="preserve">…………..-án számomra levelet küldött/ az önkormányzat honlapjára/ Facebook oldalára levelet töltött fel</w:t>
      </w:r>
      <w:r w:rsidDel="00000000" w:rsidR="00000000" w:rsidRPr="00000000">
        <w:rPr>
          <w:rFonts w:ascii="Times New Roman" w:cs="Times New Roman" w:eastAsia="Times New Roman" w:hAnsi="Times New Roman"/>
          <w:sz w:val="24"/>
          <w:szCs w:val="24"/>
          <w:rtl w:val="0"/>
        </w:rPr>
        <w:t xml:space="preserve">, amelyben</w:t>
      </w:r>
      <w:r w:rsidDel="00000000" w:rsidR="00000000" w:rsidRPr="00000000">
        <w:rPr>
          <w:rFonts w:ascii="Times New Roman" w:cs="Times New Roman" w:eastAsia="Times New Roman" w:hAnsi="Times New Roman"/>
          <w:sz w:val="24"/>
          <w:szCs w:val="24"/>
          <w:highlight w:val="yellow"/>
          <w:rtl w:val="0"/>
        </w:rPr>
        <w:t xml:space="preserve"> ………..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highlight w:val="yellow"/>
          <w:rtl w:val="0"/>
        </w:rPr>
        <w:t xml:space="preserve">polgármester-jelölt/ képviselő-jelölt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támogatására hív fel. Az eset körülményeiből nyilvánvaló, hogy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a jelölt </w:t>
      </w:r>
      <w:r w:rsidDel="00000000" w:rsidR="00000000" w:rsidRPr="00000000">
        <w:rPr>
          <w:rFonts w:ascii="Times New Roman" w:cs="Times New Roman" w:eastAsia="Times New Roman" w:hAnsi="Times New Roman"/>
          <w:sz w:val="24"/>
          <w:szCs w:val="24"/>
          <w:rtl w:val="0"/>
        </w:rPr>
        <w:t xml:space="preserve">támogatására önkormányzati erőforrást használtak fel, mert a levél</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VÁLASSZA KI AZ ÖN ESETÉBEN RELEVÁNS ELEMEKET: </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az önkormányzat hivatalos honlapján/ Facebook oldalán jelent meg</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önkormányzati fejléces papíron küldték ki</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önkormányzati bélyegzővel van ellátva</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sokszorosítása, előállítása kapcsán tudomásom van arról, hogy az önkormányzat infrastruktúráját (pl. nyomtató, önkormányzati alkalmazottak szállították ki, szerkesztették) használták fel.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Jogi értékelés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tényállásban rögzített eset egyértelműen a Ve. 140. §-a szerinti kampánytevékenységnek minősül, mivel a törvény szerint </w:t>
      </w:r>
      <w:r w:rsidDel="00000000" w:rsidR="00000000" w:rsidRPr="00000000">
        <w:rPr>
          <w:rFonts w:ascii="Times New Roman" w:cs="Times New Roman" w:eastAsia="Times New Roman" w:hAnsi="Times New Roman"/>
          <w:i w:val="1"/>
          <w:sz w:val="24"/>
          <w:szCs w:val="24"/>
          <w:rtl w:val="0"/>
        </w:rPr>
        <w:t xml:space="preserve">kampányeszköznek minősül minden olyan eszköz, amely alkalmas a választói akarat befolyásolására vagy annak megkísérlésére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Álláspontom szerint a kifogás tárgyát képező magatartás, a </w:t>
      </w:r>
      <w:r w:rsidDel="00000000" w:rsidR="00000000" w:rsidRPr="00000000">
        <w:rPr>
          <w:rFonts w:ascii="Times New Roman" w:cs="Times New Roman" w:eastAsia="Times New Roman" w:hAnsi="Times New Roman"/>
          <w:sz w:val="24"/>
          <w:szCs w:val="24"/>
          <w:highlight w:val="yellow"/>
          <w:rtl w:val="0"/>
        </w:rPr>
        <w:t xml:space="preserve">polgármesteri levél önkormányzati honlapon történő terjesztése/ a település Facebook oldalára feltöltése/ a településen található háztartásokba való eljuttatása</w:t>
      </w:r>
      <w:r w:rsidDel="00000000" w:rsidR="00000000" w:rsidRPr="00000000">
        <w:rPr>
          <w:rFonts w:ascii="Times New Roman" w:cs="Times New Roman" w:eastAsia="Times New Roman" w:hAnsi="Times New Roman"/>
          <w:sz w:val="24"/>
          <w:szCs w:val="24"/>
          <w:rtl w:val="0"/>
        </w:rPr>
        <w:t xml:space="preserve"> sérti a Ve. 2. § (1) bekezdés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pontját és e)  pontját, tehát a magatartás az a jelöltek és a jelölő szervezetek közötti esélyegyenlőség és a jóhiszemű és rendeltetésszerű joggyakorlás követelményét, alapelvét sérti. Álláspontom szerint a levéllel a </w:t>
      </w:r>
      <w:r w:rsidDel="00000000" w:rsidR="00000000" w:rsidRPr="00000000">
        <w:rPr>
          <w:rFonts w:ascii="Times New Roman" w:cs="Times New Roman" w:eastAsia="Times New Roman" w:hAnsi="Times New Roman"/>
          <w:sz w:val="24"/>
          <w:szCs w:val="24"/>
          <w:highlight w:val="yellow"/>
          <w:rtl w:val="0"/>
        </w:rPr>
        <w:t xml:space="preserve">…………………..(párt) </w:t>
      </w:r>
      <w:r w:rsidDel="00000000" w:rsidR="00000000" w:rsidRPr="00000000">
        <w:rPr>
          <w:rFonts w:ascii="Times New Roman" w:cs="Times New Roman" w:eastAsia="Times New Roman" w:hAnsi="Times New Roman"/>
          <w:sz w:val="24"/>
          <w:szCs w:val="24"/>
          <w:rtl w:val="0"/>
        </w:rPr>
        <w:t xml:space="preserve">mint jelölő szervezet és </w:t>
      </w:r>
      <w:r w:rsidDel="00000000" w:rsidR="00000000" w:rsidRPr="00000000">
        <w:rPr>
          <w:rFonts w:ascii="Times New Roman" w:cs="Times New Roman" w:eastAsia="Times New Roman" w:hAnsi="Times New Roman"/>
          <w:sz w:val="24"/>
          <w:szCs w:val="24"/>
          <w:highlight w:val="yellow"/>
          <w:rtl w:val="0"/>
        </w:rPr>
        <w:t xml:space="preserve">………………(jelölt)  </w:t>
      </w:r>
      <w:r w:rsidDel="00000000" w:rsidR="00000000" w:rsidRPr="00000000">
        <w:rPr>
          <w:rFonts w:ascii="Times New Roman" w:cs="Times New Roman" w:eastAsia="Times New Roman" w:hAnsi="Times New Roman"/>
          <w:sz w:val="24"/>
          <w:szCs w:val="24"/>
          <w:rtl w:val="0"/>
        </w:rPr>
        <w:t xml:space="preserve">jogszerűtlen előnyhöz jutott, mivel </w:t>
      </w:r>
      <w:r w:rsidDel="00000000" w:rsidR="00000000" w:rsidRPr="00000000">
        <w:rPr>
          <w:rFonts w:ascii="Times New Roman" w:cs="Times New Roman" w:eastAsia="Times New Roman" w:hAnsi="Times New Roman"/>
          <w:sz w:val="24"/>
          <w:szCs w:val="24"/>
          <w:highlight w:val="yellow"/>
          <w:rtl w:val="0"/>
        </w:rPr>
        <w:t xml:space="preserve">……..…………(polgármester)  </w:t>
      </w:r>
      <w:r w:rsidDel="00000000" w:rsidR="00000000" w:rsidRPr="00000000">
        <w:rPr>
          <w:rFonts w:ascii="Times New Roman" w:cs="Times New Roman" w:eastAsia="Times New Roman" w:hAnsi="Times New Roman"/>
          <w:sz w:val="24"/>
          <w:szCs w:val="24"/>
          <w:rtl w:val="0"/>
        </w:rPr>
        <w:t xml:space="preserve">önkormányzati infrastruktúra felhasználásával segítette őt főbb üzeneteinek a választópolgárokhoz való eljuttatásában. </w:t>
      </w:r>
    </w:p>
    <w:p w:rsidR="00000000" w:rsidDel="00000000" w:rsidP="00000000" w:rsidRDefault="00000000" w:rsidRPr="00000000" w14:paraId="00000022">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Mivel jogellenesen használtak önkormányzati infrastruktúrát a kampány céljaira, ezért a hasonlóan jogellenes magatartással nem élő vagy abból előnyt nem szerző jelöltek, jelölő szervezeteket versenyhátrányba kerülnek a választópolgárok meggyőzésében, ezért sérül a Ve. 2. § (1) bekezdés c) pontjában rögzített jelöltek, jelölő szervezetek esélyegyenlőségének elve. A polgármester mint helyben nagy ismeretséggel rendelkező személy levélben buzdít szavazásra egy jelölt és jelölő szervezet mellett a választásokon, ezzel pedig a politikai verseny más szereplőinek okoz versenyhátrányt.  </w:t>
      </w:r>
    </w:p>
    <w:p w:rsidR="00000000" w:rsidDel="00000000" w:rsidP="00000000" w:rsidRDefault="00000000" w:rsidRPr="00000000" w14:paraId="00000023">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esélyegyenlőségi eljárási alapelv sérelme mellett sérül a választás tisztaságának alapelve (Ve. 2. § (1) bekezdés a) pont) is abban az esetben, ha a jelölt a közhivatala betöltése folytán rendelkezésre álló állami, önkormányzati infrastruktúra felhasználásával vesz részt a választási kampányban, ezzel indokolatlan előnyhöz jut a többi jelölttel szemben, így például ha az önkormányzat fejléces papírját és borítékját használja kampánylevelek kiküldéséhez. </w:t>
      </w:r>
    </w:p>
    <w:p w:rsidR="00000000" w:rsidDel="00000000" w:rsidP="00000000" w:rsidRDefault="00000000" w:rsidRPr="00000000" w14:paraId="00000024">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bírói gyakorlatból egyértelműen az rajzolódik ki, hogy sérti az esélyegyenlőség alapelvi követelményét az, ha az önkormányzat fejléces papírját és borítékját használja kampánylevelek kiküldéséhez, vagy hivatalos helyiségét használnak kampányrendezvény céljából </w:t>
      </w:r>
      <w:r w:rsidDel="00000000" w:rsidR="00000000" w:rsidRPr="00000000">
        <w:rPr>
          <w:rFonts w:ascii="Times New Roman" w:cs="Times New Roman" w:eastAsia="Times New Roman" w:hAnsi="Times New Roman"/>
          <w:sz w:val="24"/>
          <w:szCs w:val="24"/>
          <w:rtl w:val="0"/>
        </w:rPr>
        <w:t xml:space="preserve">[6/1998. (III. 12.) OVB határozat, 23/1998. (IV. 6.) OVB határozat, 96/2002. (IV. 18.) OVB határozat; Pest Megyei Bíróság 2.Kpk.26.992/2002/2. számú végzés; Szabolcs-Szatmár-Bereg Megyei Bíróság Pk.21.381/2001/2. számú végzés, Szabolcs-Szatmár-Bereg Megyei Bíróság Pk.20.724/2002/2. számú végzés, Szabolcs-Szatmár-Bereg Megyei Bíróság 2.Kvk.20.711/2006/2. számú végzés].</w:t>
      </w:r>
      <w:r w:rsidDel="00000000" w:rsidR="00000000" w:rsidRPr="00000000">
        <w:rPr>
          <w:rtl w:val="0"/>
        </w:rPr>
      </w:r>
    </w:p>
    <w:p w:rsidR="00000000" w:rsidDel="00000000" w:rsidP="00000000" w:rsidRDefault="00000000" w:rsidRPr="00000000" w14:paraId="00000025">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kampányhoz kötődő jogegyenlőség követelménye, az egyenlő esély elve a választási kampány idején akkor érvényesül, ha a jelölő szervezetek és jelöltek számára azonosak azok az</w:t>
      </w:r>
      <w:r w:rsidDel="00000000" w:rsidR="00000000" w:rsidRPr="00000000">
        <w:rPr>
          <w:rFonts w:ascii="Times New Roman" w:cs="Times New Roman" w:eastAsia="Times New Roman" w:hAnsi="Times New Roman"/>
          <w:i w:val="1"/>
          <w:sz w:val="24"/>
          <w:szCs w:val="24"/>
          <w:rtl w:val="0"/>
        </w:rPr>
        <w:t xml:space="preserve"> objektív, külső feltételek, </w:t>
      </w:r>
      <w:r w:rsidDel="00000000" w:rsidR="00000000" w:rsidRPr="00000000">
        <w:rPr>
          <w:rFonts w:ascii="Times New Roman" w:cs="Times New Roman" w:eastAsia="Times New Roman" w:hAnsi="Times New Roman"/>
          <w:sz w:val="24"/>
          <w:szCs w:val="24"/>
          <w:rtl w:val="0"/>
        </w:rPr>
        <w:t xml:space="preserve">amelyek mellett képesek választási üzeneteiket eljuttatni a választókhoz. Az esélyegyenlőség megbomlik, ha egy jelölt vagy jelölő szervezet olyan segítséget kap, amely őt észszerű indok nélkül privilegizálja más szervezetekhez és jelöltekhez képest. A Kúria Kvk.II.37.395/2014/2.számú döntése értelmében az esélyegyenlőség azáltal is sérülhet, ha egy képviselőjelölt előnyhöz jut törvénysértő eszközök alkalmazásával. Azaz az esélyegyenlőség sérelme nemcsak akkor valósul meg, ha más jelölő szervezetnek vagy más jelöltnek nem teszik lehetővé az adott – kampánynak minősülő – tevékenység folytatását, hanem akkor is, ha valamely jelölt vagy jelölő szervezet (az állam, az önkormányzat vagy épp a média által folytatott) jogellenes kampánytevékenységből származó előnyhöz jut. A Kúria Kvk.37700/2019/2. számú precedensképes határozata elvi éllel mondja ki, hogy a polgármesteri minőségben küldött tájékoztató levél kampánytevékenységnek minősül, mely sérti a Ve. 2. § (1) bekezdés c) pontja szerinti esélyegyenlőségi alapelvet. Továbbá, a Kúria Kvk.37699/2019/2. számú határozata szerint sérti a jelöltek és a jelölő szervezet közötti esélyegyenlőség, valamint a jóhiszemű és rendeltetésszerű joggyakorlat alapelvét, ha a polgármester e tisztségében és nem a jelölő szervezet nevében, képviseletében végez pártpolitikai kampánytevékenységet. </w:t>
      </w:r>
    </w:p>
    <w:p w:rsidR="00000000" w:rsidDel="00000000" w:rsidP="00000000" w:rsidRDefault="00000000" w:rsidRPr="00000000" w14:paraId="00000026">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Szintén a jelöltek és jelölő szervezetek esélyegyenlőségével foglalkozik a Kúria Kvk.37480/2018/2. számú precedensképes határozata, amely szerint az esélyegyenlőség alapelvét sérti az önkormányzat azzal, ha kampányidőszakban a lakosoknak olyan tartalmú nyilatkozatot juttat el, amelyben az egyik párt jelöltjének választási kampányát próbálja gyengíteni.</w:t>
      </w:r>
    </w:p>
    <w:p w:rsidR="00000000" w:rsidDel="00000000" w:rsidP="00000000" w:rsidRDefault="00000000" w:rsidRPr="00000000" w14:paraId="00000027">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Hangsúlyozom, hogy a polgármester fenti tevékenysége nem minősül a Ve. 142. § szerinti kampánytevékenység alóli kivételnek, hiszen a polgármester nem önkormányzati feladatot lát el, továbbá a sérelmezett közlés nem jogszabályban meghatározott feladat ellátása során történt. </w:t>
      </w:r>
    </w:p>
    <w:p w:rsidR="00000000" w:rsidDel="00000000" w:rsidP="00000000" w:rsidRDefault="00000000" w:rsidRPr="00000000" w14:paraId="00000028">
      <w:pPr>
        <w:spacing w:after="54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kifogás megtételének eljárási feltételei</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Előadom, hogy kifogásom elbírálására a T. Választási Bizottság rendelkezik hatáskörrel és illetékességgel, tekintettel a </w:t>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Ve. 307/P. § (1) bekezdés </w:t>
      </w:r>
      <w:r w:rsidDel="00000000" w:rsidR="00000000" w:rsidRPr="00000000">
        <w:rPr>
          <w:rFonts w:ascii="Times New Roman" w:cs="Times New Roman" w:eastAsia="Times New Roman" w:hAnsi="Times New Roman"/>
          <w:i w:val="1"/>
          <w:sz w:val="24"/>
          <w:szCs w:val="24"/>
          <w:highlight w:val="yellow"/>
          <w:rtl w:val="0"/>
        </w:rPr>
        <w:t xml:space="preserve">b)</w:t>
      </w:r>
      <w:r w:rsidDel="00000000" w:rsidR="00000000" w:rsidRPr="00000000">
        <w:rPr>
          <w:rFonts w:ascii="Times New Roman" w:cs="Times New Roman" w:eastAsia="Times New Roman" w:hAnsi="Times New Roman"/>
          <w:sz w:val="24"/>
          <w:szCs w:val="24"/>
          <w:highlight w:val="yellow"/>
          <w:rtl w:val="0"/>
        </w:rPr>
        <w:t xml:space="preserve"> pontjában foglaltakra, amely szerint a helyi választási bizottság dönt minden olyan kifogásról, amely kifejezetten az egyéni listás, az egyéni választókerületi, a kompenzációs listás vagy a polgármester-választáshoz kapcsolódik.</w:t>
      </w:r>
    </w:p>
    <w:p w:rsidR="00000000" w:rsidDel="00000000" w:rsidP="00000000" w:rsidRDefault="00000000" w:rsidRPr="00000000" w14:paraId="0000002B">
      <w:pPr>
        <w:numPr>
          <w:ilvl w:val="0"/>
          <w:numId w:val="1"/>
        </w:numPr>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a fővárosban: Ve. 307/P.§ (2) bekezdés a) pontjában foglaltakra, amely szerint a területi választási bizottság dönt minden olyan kifogásról, amely kifejezetten a vármegyei vagy fővárosi önkormányzati választáshoz vagy a főpolgármester-választáshoz kapcsolódik,</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0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Kifogástételi jogosultság</w:t>
      </w:r>
    </w:p>
    <w:p w:rsidR="00000000" w:rsidDel="00000000" w:rsidP="00000000" w:rsidRDefault="00000000" w:rsidRPr="00000000" w14:paraId="0000002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 208. §-a értelmében "</w:t>
      </w:r>
      <w:r w:rsidDel="00000000" w:rsidR="00000000" w:rsidRPr="00000000">
        <w:rPr>
          <w:rFonts w:ascii="Times New Roman" w:cs="Times New Roman" w:eastAsia="Times New Roman" w:hAnsi="Times New Roman"/>
          <w:i w:val="1"/>
          <w:sz w:val="24"/>
          <w:szCs w:val="24"/>
          <w:rtl w:val="0"/>
        </w:rPr>
        <w:t xml:space="preserve">Kifogást a választásra irányadó jogszabály, illetve a választás és a választási eljárás alapelveinek megsértésére (a továbbiakban együtt: jogszabálysértés) hivatkozással a központi névjegyzékben szereplő választópolgár, jelölt, jelölő szervezet, továbbá az ügyben érintett természetes és jogi személy, jogi személyiség nélküli szervezet nyújthat be.</w:t>
      </w:r>
      <w:r w:rsidDel="00000000" w:rsidR="00000000" w:rsidRPr="00000000">
        <w:rPr>
          <w:rFonts w:ascii="Times New Roman" w:cs="Times New Roman" w:eastAsia="Times New Roman" w:hAnsi="Times New Roman"/>
          <w:sz w:val="24"/>
          <w:szCs w:val="24"/>
          <w:rtl w:val="0"/>
        </w:rPr>
        <w:t xml:space="preserve">" Kijelentem, hogy a központi névjegyzékben szereplő választópolgár vagyok, ezért a Ve. 208. § alapján kifogás benyújtására jogosult vagyok. </w:t>
      </w:r>
    </w:p>
    <w:p w:rsidR="00000000" w:rsidDel="00000000" w:rsidP="00000000" w:rsidRDefault="00000000" w:rsidRPr="00000000" w14:paraId="0000002F">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Kiemelem emellett, hogy az ügyben érintett is vagyok. Érintettség akkor állapítható meg, ha a kérelmező saját jogaira és kötelezettségeire az állított jogsérelem közvetlenül</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kihat</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(ld. pl. Kvk. I.37.439/2014/2., Kvk.37.440/2014/3., Kvk.V.37.469/2014/2.). </w:t>
      </w:r>
    </w:p>
    <w:p w:rsidR="00000000" w:rsidDel="00000000" w:rsidP="00000000" w:rsidRDefault="00000000" w:rsidRPr="00000000" w14:paraId="00000030">
      <w:pPr>
        <w:spacing w:after="20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Határidő megtartása</w:t>
      </w:r>
    </w:p>
    <w:p w:rsidR="00000000" w:rsidDel="00000000" w:rsidP="00000000" w:rsidRDefault="00000000" w:rsidRPr="00000000" w14:paraId="00000031">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Online közzétett levél esetén: </w:t>
      </w:r>
    </w:p>
    <w:p w:rsidR="00000000" w:rsidDel="00000000" w:rsidP="00000000" w:rsidRDefault="00000000" w:rsidRPr="00000000" w14:paraId="00000032">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 209. § (2) bekezdése értelmében folyamatosan fennálló tevékenység esetében a kifogást a sérelmezett tevékenység fennállásának teljes időtartama alatt be lehet nyújtani. A jogorvoslati határidő kezdete nem a sérelmezett tevékenység kezdő időpontja, hanem az az utolsó időpont, amikor a sérelmezett állapot még fennáll. A Kúria következetes gyakorlata szerint (ld. Kvk.II.38.056/2014/3., BH 2015/5/K15.) a kampány során az interneten közzétett tartalmakat érintő kifogások vonatkozásában a jogorvoslati határidő kezdete az az utolsó időpont, amikor a sérelmezett állapot még fennáll, a sérelmezett tartalom az interneten még megtalálható. </w:t>
      </w:r>
    </w:p>
    <w:p w:rsidR="00000000" w:rsidDel="00000000" w:rsidP="00000000" w:rsidRDefault="00000000" w:rsidRPr="00000000" w14:paraId="00000033">
      <w:pPr>
        <w:spacing w:after="54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levél, mint kampányeszköz a választópolgárok számára folyamatosan elérhető a honlapon, ebből fakadóan a választói akarat befolyásolására irányuló hatását folytatólagosan fejti ki, ezért a jogsértés folyamatosan fennáll. A jelen kifogásban sérelmezett levél </w:t>
      </w:r>
      <w:r w:rsidDel="00000000" w:rsidR="00000000" w:rsidRPr="00000000">
        <w:rPr>
          <w:rFonts w:ascii="Times New Roman" w:cs="Times New Roman" w:eastAsia="Times New Roman" w:hAnsi="Times New Roman"/>
          <w:sz w:val="24"/>
          <w:szCs w:val="24"/>
          <w:highlight w:val="yellow"/>
          <w:rtl w:val="0"/>
        </w:rPr>
        <w:t xml:space="preserve">…………… -kor </w:t>
      </w:r>
      <w:r w:rsidDel="00000000" w:rsidR="00000000" w:rsidRPr="00000000">
        <w:rPr>
          <w:rFonts w:ascii="Times New Roman" w:cs="Times New Roman" w:eastAsia="Times New Roman" w:hAnsi="Times New Roman"/>
          <w:sz w:val="24"/>
          <w:szCs w:val="24"/>
          <w:rtl w:val="0"/>
        </w:rPr>
        <w:t xml:space="preserve">még a fent megjelölt internetes oldalon látható volt, sőt legjobb tudomásom szerint e kifogás benyújtásakor továbbra is látható, ezért a kifogástételre rendelkezésre álló határidőt megtartottam.</w:t>
      </w:r>
      <w:r w:rsidDel="00000000" w:rsidR="00000000" w:rsidRPr="00000000">
        <w:rPr>
          <w:rtl w:val="0"/>
        </w:rPr>
      </w:r>
    </w:p>
    <w:p w:rsidR="00000000" w:rsidDel="00000000" w:rsidP="00000000" w:rsidRDefault="00000000" w:rsidRPr="00000000" w14:paraId="00000034">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Postaládába érkezett levél esetén:</w:t>
      </w:r>
    </w:p>
    <w:p w:rsidR="00000000" w:rsidDel="00000000" w:rsidP="00000000" w:rsidRDefault="00000000" w:rsidRPr="00000000" w14:paraId="00000035">
      <w:pPr>
        <w:spacing w:after="20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Ve. 209. § (1) bekezdése alapján a kifogást úgy kell benyújtani, hogy az legkésőbb a sérelmezett jogszabálysértés elkövetésétől számított harmadik napon megérkezzen a kifogás elbírálására hatáskörrel és illetékességgel rendelkező választási bizottsághoz. A sérelmezett jogszabálysértés időpontja </w:t>
      </w:r>
      <w:r w:rsidDel="00000000" w:rsidR="00000000" w:rsidRPr="00000000">
        <w:rPr>
          <w:rFonts w:ascii="Times New Roman" w:cs="Times New Roman" w:eastAsia="Times New Roman" w:hAnsi="Times New Roman"/>
          <w:sz w:val="24"/>
          <w:szCs w:val="24"/>
          <w:highlight w:val="yellow"/>
          <w:rtl w:val="0"/>
        </w:rPr>
        <w:t xml:space="preserve">…………….. , </w:t>
      </w:r>
      <w:r w:rsidDel="00000000" w:rsidR="00000000" w:rsidRPr="00000000">
        <w:rPr>
          <w:rFonts w:ascii="Times New Roman" w:cs="Times New Roman" w:eastAsia="Times New Roman" w:hAnsi="Times New Roman"/>
          <w:sz w:val="24"/>
          <w:szCs w:val="24"/>
          <w:rtl w:val="0"/>
        </w:rPr>
        <w:t xml:space="preserve">kifogást tevőként ekkor érkezett meg a postaládámba a jogsértő kampánytevékenységet megvalósító levél, így a kifogástételre rendelkezésre álló határidőt megtartottam.</w:t>
      </w:r>
      <w:r w:rsidDel="00000000" w:rsidR="00000000" w:rsidRPr="00000000">
        <w:rPr>
          <w:rtl w:val="0"/>
        </w:rPr>
      </w:r>
    </w:p>
    <w:p w:rsidR="00000000" w:rsidDel="00000000" w:rsidP="00000000" w:rsidRDefault="00000000" w:rsidRPr="00000000" w14:paraId="00000036">
      <w:pPr>
        <w:spacing w:after="20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Kérelmek</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Kérem a T. Választási Bizottságot, hogy</w:t>
      </w:r>
    </w:p>
    <w:p w:rsidR="00000000" w:rsidDel="00000000" w:rsidP="00000000" w:rsidRDefault="00000000" w:rsidRPr="00000000" w14:paraId="00000038">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állapítsa meg, hogy a bepanaszolt általam kifogásolt magatartásával megsértette a választási eljárás fent megjelölt eljárási alapelveit és</w:t>
      </w:r>
    </w:p>
    <w:p w:rsidR="00000000" w:rsidDel="00000000" w:rsidP="00000000" w:rsidRDefault="00000000" w:rsidRPr="00000000" w14:paraId="00000039">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tiltsa el a bepanaszoltat a további jogsértéstől, továbbá</w:t>
      </w:r>
    </w:p>
    <w:p w:rsidR="00000000" w:rsidDel="00000000" w:rsidP="00000000" w:rsidRDefault="00000000" w:rsidRPr="00000000" w14:paraId="0000003A">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szabjon ki a jogszabály-sértéssel arányban álló bírságot a bepanaszoltra a Ve. 152. § (2) bekezdésében foglal felhatalmazásával élve. A bírság mértékének meghatározása során kérem legyen tekintettel arra, hogy bepanaszolt az önkormányzat infrastukturáját felhasználva különösen nagy számú választópolgárhoz juttatta</w:t>
      </w:r>
      <w:r w:rsidDel="00000000" w:rsidR="00000000" w:rsidRPr="00000000">
        <w:rPr>
          <w:rFonts w:ascii="Times New Roman" w:cs="Times New Roman" w:eastAsia="Times New Roman" w:hAnsi="Times New Roman"/>
          <w:sz w:val="24"/>
          <w:szCs w:val="24"/>
          <w:highlight w:val="yellow"/>
          <w:rtl w:val="0"/>
        </w:rPr>
        <w:t xml:space="preserve"> -- és az interneten keresztül továbbra is juttatja --</w:t>
      </w:r>
      <w:r w:rsidDel="00000000" w:rsidR="00000000" w:rsidRPr="00000000">
        <w:rPr>
          <w:rFonts w:ascii="Times New Roman" w:cs="Times New Roman" w:eastAsia="Times New Roman" w:hAnsi="Times New Roman"/>
          <w:sz w:val="24"/>
          <w:szCs w:val="24"/>
          <w:rtl w:val="0"/>
        </w:rPr>
        <w:t xml:space="preserve"> el a jogsértő kampányeszközt.</w:t>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Melléklet: fotó/képernyőfelvétel a levélről</w:t>
      </w:r>
    </w:p>
    <w:p w:rsidR="00000000" w:rsidDel="00000000" w:rsidP="00000000" w:rsidRDefault="00000000" w:rsidRPr="00000000" w14:paraId="0000003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Tisztelettel:</w:t>
      </w:r>
    </w:p>
    <w:p w:rsidR="00000000" w:rsidDel="00000000" w:rsidP="00000000" w:rsidRDefault="00000000" w:rsidRPr="00000000" w14:paraId="0000003E">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birosag.hu/civil-szervezetek-nevjegyzeke" TargetMode="External"/><Relationship Id="rId5" Type="http://schemas.openxmlformats.org/officeDocument/2006/relationships/styles" Target="styles.xml"/><Relationship Id="rId6" Type="http://schemas.openxmlformats.org/officeDocument/2006/relationships/hyperlink" Target="https://www.valasztas.hu/elerhetosegek" TargetMode="External"/><Relationship Id="rId7" Type="http://schemas.openxmlformats.org/officeDocument/2006/relationships/hyperlink" Target="https://tasz.hu/tudastar/mit-tehetsz-ha-valasztasi-csalast-vagy-visszaelest-tapasztalsz/" TargetMode="External"/><Relationship Id="rId8" Type="http://schemas.openxmlformats.org/officeDocument/2006/relationships/hyperlink" Target="https://tasz.hu/tudastar/mit-tehetsz-ha-valasztasi-csalast-vagy-visszaelest-tapasztal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