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Amennyiben a szavazókörben jegyzőkönyvbe vették az esetet, fontos erre hivatkozni. Ha erre nem került sor, akkor a jelen lévő személyektől, szemtanúk nyilatkozatot írjanak alá, amely alátámasztja az ügy tényállását. A nyilatkozatra mintát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 talál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Példa: „A szavazóköri jegyzőkönyv [vagy: csatolt nyilatkozat] szerint a szavazás napján Példa település X. számú szavazókörében több, legalább tíz választópolgár ugyanannak a személynek a segítségét vette igénybe.” – Ezt követheti a személy pontos leírása, valamint annak a valószínűsítése, hogy nyomást gyakorolt a szavazókra. Ezt valószínűsítheti a településen betöltött pozíciója, vagy valamely jelölő-szervezettel fennálló közvetlen kapcsolata. Ugyancsak a rendeltetésszerű joggyakorlás hiányára utal az, ha a segítő és a segített között csak távoli személyes kapcsolat állt fenn, és egyébként a segítettnek más, vele közelebbi kapcsolatban álló személy is segíthetett volna.]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2024. június 9-én került sor, a kifogás benyújtására a Ve. 209. § (1) bekezdése szerint nyitva álló, háromnapos határidő megtartottnak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tekintendő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Habár a Ve. 181. § (1) bekezdése lehetővé teszi a szavazásnál segítő igénybevételét, e jog gyakorlása nem ütközhet a Ve. alapelveibe, nem sértheti a 2. § (1) bekezdés a) pontjában foglalt választás tisztasága, valamint ugyanezen bekezdés e) pontjában foglalt jóhiszemű és rendeltetésszerű joggyakorlás elvét. A tényállás részben kifejtettek szerint az ügy összes körülményéből megállapítható, hogy a 181. § (1) bekezdésében foglalt lehetőséggel nem annak rendeltetésével összhangban éltek. Jelen ügyben a segítségnyújtó közreműködése valójában nyomásgyakorlást valósított meg, sértve ezzel a választás tisztaságát.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június 9.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