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left w:color="auto" w:space="0" w:sz="0" w:val="none"/>
          <w:right w:color="auto" w:space="0" w:sz="0" w:val="none"/>
        </w:pBdr>
        <w:shd w:fill="ffffff" w:val="clea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highlight w:val="yellow"/>
          <w:rtl w:val="0"/>
        </w:rPr>
        <w:t xml:space="preserve">[Kérjük, hogy a sárgával jelölt részeket töltse ki az azokban szereplő instrukciók szerint. Ügyeljen rá, hogy a beadott kifogásban ne maradjanak sárgával jelölt részek.]</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2">
      <w:pPr>
        <w:pBdr>
          <w:left w:color="auto" w:space="0" w:sz="0" w:val="none"/>
          <w:right w:color="auto" w:space="0" w:sz="0" w:val="none"/>
        </w:pBdr>
        <w:shd w:fill="ffffff" w:val="clea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w:t>
      </w:r>
      <w:r w:rsidDel="00000000" w:rsidR="00000000" w:rsidRPr="00000000">
        <w:rPr>
          <w:rFonts w:ascii="Times New Roman" w:cs="Times New Roman" w:eastAsia="Times New Roman" w:hAnsi="Times New Roman"/>
          <w:b w:val="1"/>
          <w:bCs w:val="1"/>
          <w:sz w:val="24"/>
          <w:szCs w:val="24"/>
          <w:highlight w:val="yellow"/>
          <w:rtl w:val="0"/>
        </w:rPr>
        <w:t xml:space="preserve">[.....]</w:t>
      </w:r>
      <w:r w:rsidDel="00000000" w:rsidR="00000000" w:rsidRPr="00000000">
        <w:rPr>
          <w:rFonts w:ascii="Times New Roman" w:cs="Times New Roman" w:eastAsia="Times New Roman" w:hAnsi="Times New Roman"/>
          <w:b w:val="1"/>
          <w:bCs w:val="1"/>
          <w:sz w:val="24"/>
          <w:szCs w:val="24"/>
          <w:rtl w:val="0"/>
        </w:rPr>
        <w:t xml:space="preserve"> Választási Bizottság részére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pBdr>
          <w:left w:color="auto" w:space="0" w:sz="0" w:val="none"/>
          <w:right w:color="auto" w:space="0" w:sz="0" w:val="none"/>
        </w:pBdr>
        <w:shd w:fill="ffffff" w:val="clea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highlight w:val="yellow"/>
          <w:rtl w:val="0"/>
        </w:rPr>
        <w:t xml:space="preserve">Település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pBdr>
          <w:left w:color="auto" w:space="0" w:sz="0" w:val="none"/>
          <w:right w:color="auto" w:space="0" w:sz="0" w:val="none"/>
        </w:pBd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A választási bizottság e-mail címe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pBdr>
          <w:left w:color="auto" w:space="0" w:sz="0" w:val="none"/>
          <w:right w:color="auto" w:space="0" w:sz="0" w:val="none"/>
        </w:pBd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[Számos helyi választási bizottság elérhetőségét megtalálja</w:t>
      </w:r>
      <w:hyperlink r:id="rId6">
        <w:r w:rsidDel="00000000" w:rsidR="00000000" w:rsidRPr="00000000">
          <w:rPr>
            <w:rFonts w:ascii="Times New Roman" w:cs="Times New Roman" w:eastAsia="Times New Roman" w:hAnsi="Times New Roman"/>
            <w:sz w:val="24"/>
            <w:szCs w:val="24"/>
            <w:highlight w:val="yellow"/>
            <w:rtl w:val="0"/>
          </w:rPr>
          <w:t xml:space="preserve"> </w:t>
        </w:r>
      </w:hyperlink>
      <w:hyperlink r:id="rId7">
        <w:r w:rsidDel="00000000" w:rsidR="00000000" w:rsidRPr="00000000">
          <w:rPr>
            <w:rFonts w:ascii="Times New Roman" w:cs="Times New Roman" w:eastAsia="Times New Roman" w:hAnsi="Times New Roman"/>
            <w:color w:val="1155cc"/>
            <w:sz w:val="24"/>
            <w:szCs w:val="24"/>
            <w:highlight w:val="yellow"/>
            <w:u w:val="single"/>
            <w:rtl w:val="0"/>
          </w:rPr>
          <w:t xml:space="preserve">ezen a linken</w:t>
        </w:r>
      </w:hyperlink>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pBdr>
          <w:left w:color="auto" w:space="0" w:sz="0" w:val="none"/>
          <w:right w:color="auto" w:space="0" w:sz="0" w:val="none"/>
        </w:pBd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Arról, hogy melyik választási bizottsághoz kell benyújtania</w:t>
      </w:r>
      <w:hyperlink r:id="rId8">
        <w:r w:rsidDel="00000000" w:rsidR="00000000" w:rsidRPr="00000000">
          <w:rPr>
            <w:rFonts w:ascii="Times New Roman" w:cs="Times New Roman" w:eastAsia="Times New Roman" w:hAnsi="Times New Roman"/>
            <w:sz w:val="24"/>
            <w:szCs w:val="24"/>
            <w:highlight w:val="yellow"/>
            <w:rtl w:val="0"/>
          </w:rPr>
          <w:t xml:space="preserve"> </w:t>
        </w:r>
      </w:hyperlink>
      <w:hyperlink r:id="rId9">
        <w:r w:rsidDel="00000000" w:rsidR="00000000" w:rsidRPr="00000000">
          <w:rPr>
            <w:rFonts w:ascii="Times New Roman" w:cs="Times New Roman" w:eastAsia="Times New Roman" w:hAnsi="Times New Roman"/>
            <w:color w:val="1155cc"/>
            <w:sz w:val="24"/>
            <w:szCs w:val="24"/>
            <w:highlight w:val="yellow"/>
            <w:u w:val="single"/>
            <w:rtl w:val="0"/>
          </w:rPr>
          <w:t xml:space="preserve">a választási visszaélésekről szóló tájékoztatónk</w:t>
        </w:r>
      </w:hyperlink>
      <w:r w:rsidDel="00000000" w:rsidR="00000000" w:rsidRPr="00000000">
        <w:rPr>
          <w:rFonts w:ascii="Times New Roman" w:cs="Times New Roman" w:eastAsia="Times New Roman" w:hAnsi="Times New Roman"/>
          <w:sz w:val="24"/>
          <w:szCs w:val="24"/>
          <w:highlight w:val="yellow"/>
          <w:rtl w:val="0"/>
        </w:rPr>
        <w:t xml:space="preserve"> 06. kérdésénél talál információt.]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pBdr>
          <w:left w:color="auto" w:space="0" w:sz="0" w:val="none"/>
          <w:right w:color="auto" w:space="0" w:sz="0" w:val="none"/>
        </w:pBd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pBdr>
          <w:left w:color="auto" w:space="0" w:sz="0" w:val="none"/>
          <w:right w:color="auto" w:space="0" w:sz="0" w:val="none"/>
        </w:pBd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Tisztelt Választási Bizottság! </w:t>
      </w:r>
    </w:p>
    <w:p w:rsidR="00000000" w:rsidDel="00000000" w:rsidP="00000000" w:rsidRDefault="00000000" w:rsidRPr="00000000" w14:paraId="00000009">
      <w:pPr>
        <w:pBdr>
          <w:left w:color="auto" w:space="0" w:sz="0" w:val="none"/>
          <w:right w:color="auto" w:space="0" w:sz="0" w:val="none"/>
        </w:pBd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highlight w:val="yellow"/>
          <w:rtl w:val="0"/>
        </w:rPr>
        <w:t xml:space="preserve">VÁLTOZAT #1</w:t>
      </w:r>
      <w:r w:rsidDel="00000000" w:rsidR="00000000" w:rsidRPr="00000000">
        <w:rPr>
          <w:rFonts w:ascii="Times New Roman" w:cs="Times New Roman" w:eastAsia="Times New Roman" w:hAnsi="Times New Roman"/>
          <w:sz w:val="24"/>
          <w:szCs w:val="24"/>
          <w:highlight w:val="yellow"/>
          <w:rtl w:val="0"/>
        </w:rPr>
        <w:t xml:space="preserve"> ha választópolgár nyújtja be a kifogást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pBdr>
          <w:left w:color="auto" w:space="0" w:sz="0" w:val="none"/>
          <w:right w:color="auto" w:space="0" w:sz="0" w:val="none"/>
        </w:pBd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Alulírott </w:t>
      </w:r>
      <w:r w:rsidDel="00000000" w:rsidR="00000000" w:rsidRPr="00000000">
        <w:rPr>
          <w:rFonts w:ascii="Times New Roman" w:cs="Times New Roman" w:eastAsia="Times New Roman" w:hAnsi="Times New Roman"/>
          <w:sz w:val="24"/>
          <w:szCs w:val="24"/>
          <w:highlight w:val="yellow"/>
          <w:rtl w:val="0"/>
        </w:rPr>
        <w:t xml:space="preserve">[NÉV]</w:t>
      </w:r>
      <w:r w:rsidDel="00000000" w:rsidR="00000000" w:rsidRPr="00000000">
        <w:rPr>
          <w:rFonts w:ascii="Times New Roman" w:cs="Times New Roman" w:eastAsia="Times New Roman" w:hAnsi="Times New Roman"/>
          <w:sz w:val="24"/>
          <w:szCs w:val="24"/>
          <w:rtl w:val="0"/>
        </w:rPr>
        <w:t xml:space="preserve"> (személyi azonosító: </w:t>
      </w:r>
      <w:r w:rsidDel="00000000" w:rsidR="00000000" w:rsidRPr="00000000">
        <w:rPr>
          <w:rFonts w:ascii="Times New Roman" w:cs="Times New Roman" w:eastAsia="Times New Roman" w:hAnsi="Times New Roman"/>
          <w:sz w:val="24"/>
          <w:szCs w:val="24"/>
          <w:highlight w:val="yellow"/>
          <w:rtl w:val="0"/>
        </w:rPr>
        <w:t xml:space="preserve">X-XXXXXX-XXXX</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[a személyi azonosító a lakcímkártyán található tipikusan egyes vagy kettes számmal kezdődő számsor, régi nevén a személyi szám, ezt kell feltüntetni a kifogásban kötelezően, nem a személyi igazolvány számát! Bővebb információt a személyi azonosítóról</w:t>
      </w:r>
      <w:hyperlink r:id="rId10">
        <w:r w:rsidDel="00000000" w:rsidR="00000000" w:rsidRPr="00000000">
          <w:rPr>
            <w:rFonts w:ascii="Times New Roman" w:cs="Times New Roman" w:eastAsia="Times New Roman" w:hAnsi="Times New Roman"/>
            <w:sz w:val="24"/>
            <w:szCs w:val="24"/>
            <w:highlight w:val="yellow"/>
            <w:rtl w:val="0"/>
          </w:rPr>
          <w:t xml:space="preserve"> </w:t>
        </w:r>
      </w:hyperlink>
      <w:hyperlink r:id="rId11">
        <w:r w:rsidDel="00000000" w:rsidR="00000000" w:rsidRPr="00000000">
          <w:rPr>
            <w:rFonts w:ascii="Times New Roman" w:cs="Times New Roman" w:eastAsia="Times New Roman" w:hAnsi="Times New Roman"/>
            <w:color w:val="1155cc"/>
            <w:sz w:val="24"/>
            <w:szCs w:val="24"/>
            <w:highlight w:val="yellow"/>
            <w:u w:val="single"/>
            <w:rtl w:val="0"/>
          </w:rPr>
          <w:t xml:space="preserve">a választási visszaélésekről szóló tájékoztatónk</w:t>
        </w:r>
      </w:hyperlink>
      <w:r w:rsidDel="00000000" w:rsidR="00000000" w:rsidRPr="00000000">
        <w:rPr>
          <w:rFonts w:ascii="Times New Roman" w:cs="Times New Roman" w:eastAsia="Times New Roman" w:hAnsi="Times New Roman"/>
          <w:sz w:val="24"/>
          <w:szCs w:val="24"/>
          <w:highlight w:val="yellow"/>
          <w:rtl w:val="0"/>
        </w:rPr>
        <w:t xml:space="preserve"> 08. kérdésénél talál]</w:t>
      </w:r>
      <w:r w:rsidDel="00000000" w:rsidR="00000000" w:rsidRPr="00000000">
        <w:rPr>
          <w:rFonts w:ascii="Times New Roman" w:cs="Times New Roman" w:eastAsia="Times New Roman" w:hAnsi="Times New Roman"/>
          <w:sz w:val="24"/>
          <w:szCs w:val="24"/>
          <w:rtl w:val="0"/>
        </w:rPr>
        <w:t xml:space="preserve">; lakcím: </w:t>
      </w:r>
      <w:r w:rsidDel="00000000" w:rsidR="00000000" w:rsidRPr="00000000">
        <w:rPr>
          <w:rFonts w:ascii="Times New Roman" w:cs="Times New Roman" w:eastAsia="Times New Roman" w:hAnsi="Times New Roman"/>
          <w:sz w:val="24"/>
          <w:szCs w:val="24"/>
          <w:highlight w:val="yellow"/>
          <w:rtl w:val="0"/>
        </w:rPr>
        <w:t xml:space="preserve">[LAKCÍM]</w:t>
      </w:r>
      <w:r w:rsidDel="00000000" w:rsidR="00000000" w:rsidRPr="00000000">
        <w:rPr>
          <w:rFonts w:ascii="Times New Roman" w:cs="Times New Roman" w:eastAsia="Times New Roman" w:hAnsi="Times New Roman"/>
          <w:sz w:val="24"/>
          <w:szCs w:val="24"/>
          <w:rtl w:val="0"/>
        </w:rPr>
        <w:t xml:space="preserve">; e-mail: </w:t>
      </w:r>
      <w:r w:rsidDel="00000000" w:rsidR="00000000" w:rsidRPr="00000000">
        <w:rPr>
          <w:rFonts w:ascii="Times New Roman" w:cs="Times New Roman" w:eastAsia="Times New Roman" w:hAnsi="Times New Roman"/>
          <w:sz w:val="24"/>
          <w:szCs w:val="24"/>
          <w:highlight w:val="yellow"/>
          <w:rtl w:val="0"/>
        </w:rPr>
        <w:t xml:space="preserve">[E-MAIL CÍM]</w:t>
      </w:r>
      <w:r w:rsidDel="00000000" w:rsidR="00000000" w:rsidRPr="00000000">
        <w:rPr>
          <w:rFonts w:ascii="Times New Roman" w:cs="Times New Roman" w:eastAsia="Times New Roman" w:hAnsi="Times New Roman"/>
          <w:sz w:val="24"/>
          <w:szCs w:val="24"/>
          <w:rtl w:val="0"/>
        </w:rPr>
        <w:t xml:space="preserve">), mint a központi névjegyzékben szereplő választópolgár a választási eljárásról szóló 2013. évi XXXVI. törvény (a továbbiakban: Ve.) 208. § alapján az alábbi jogszabálysértés miatt kifogást nyújtok be. </w:t>
      </w:r>
    </w:p>
    <w:p w:rsidR="00000000" w:rsidDel="00000000" w:rsidP="00000000" w:rsidRDefault="00000000" w:rsidRPr="00000000" w14:paraId="0000000B">
      <w:pPr>
        <w:pBdr>
          <w:left w:color="auto" w:space="0" w:sz="0" w:val="none"/>
          <w:right w:color="auto" w:space="0" w:sz="0" w:val="none"/>
        </w:pBd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pBdr>
          <w:left w:color="auto" w:space="0" w:sz="0" w:val="none"/>
          <w:right w:color="auto" w:space="0" w:sz="0" w:val="none"/>
        </w:pBd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highlight w:val="yellow"/>
          <w:rtl w:val="0"/>
        </w:rPr>
        <w:t xml:space="preserve">VÁLTOZAT #2</w:t>
      </w:r>
      <w:r w:rsidDel="00000000" w:rsidR="00000000" w:rsidRPr="00000000">
        <w:rPr>
          <w:rFonts w:ascii="Times New Roman" w:cs="Times New Roman" w:eastAsia="Times New Roman" w:hAnsi="Times New Roman"/>
          <w:sz w:val="24"/>
          <w:szCs w:val="24"/>
          <w:highlight w:val="yellow"/>
          <w:rtl w:val="0"/>
        </w:rPr>
        <w:t xml:space="preserve"> ha az adott választásra jogerősen nyilvántartásba vett jelölő szervezet nyújtja be a kifogást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pBdr>
          <w:left w:color="auto" w:space="0" w:sz="0" w:val="none"/>
          <w:right w:color="auto" w:space="0" w:sz="0" w:val="none"/>
        </w:pBd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sz w:val="24"/>
          <w:szCs w:val="24"/>
          <w:highlight w:val="yellow"/>
          <w:rtl w:val="0"/>
        </w:rPr>
        <w:t xml:space="preserve">[SZERVEZET NEVE]</w:t>
      </w:r>
      <w:r w:rsidDel="00000000" w:rsidR="00000000" w:rsidRPr="00000000">
        <w:rPr>
          <w:rFonts w:ascii="Times New Roman" w:cs="Times New Roman" w:eastAsia="Times New Roman" w:hAnsi="Times New Roman"/>
          <w:sz w:val="24"/>
          <w:szCs w:val="24"/>
          <w:rtl w:val="0"/>
        </w:rPr>
        <w:t xml:space="preserve"> (nyilvántartási szám: </w:t>
      </w:r>
      <w:r w:rsidDel="00000000" w:rsidR="00000000" w:rsidRPr="00000000">
        <w:rPr>
          <w:rFonts w:ascii="Times New Roman" w:cs="Times New Roman" w:eastAsia="Times New Roman" w:hAnsi="Times New Roman"/>
          <w:sz w:val="24"/>
          <w:szCs w:val="24"/>
          <w:highlight w:val="yellow"/>
          <w:rtl w:val="0"/>
        </w:rPr>
        <w:t xml:space="preserve">XX-02-XXXXXXX</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[a nyilvántartási szám egyesületek/pártok esetében a</w:t>
      </w:r>
      <w:hyperlink r:id="rId12">
        <w:r w:rsidDel="00000000" w:rsidR="00000000" w:rsidRPr="00000000">
          <w:rPr>
            <w:rFonts w:ascii="Times New Roman" w:cs="Times New Roman" w:eastAsia="Times New Roman" w:hAnsi="Times New Roman"/>
            <w:sz w:val="24"/>
            <w:szCs w:val="24"/>
            <w:highlight w:val="yellow"/>
            <w:rtl w:val="0"/>
          </w:rPr>
          <w:t xml:space="preserve"> </w:t>
        </w:r>
      </w:hyperlink>
      <w:hyperlink r:id="rId13">
        <w:r w:rsidDel="00000000" w:rsidR="00000000" w:rsidRPr="00000000">
          <w:rPr>
            <w:rFonts w:ascii="Times New Roman" w:cs="Times New Roman" w:eastAsia="Times New Roman" w:hAnsi="Times New Roman"/>
            <w:color w:val="1155cc"/>
            <w:sz w:val="24"/>
            <w:szCs w:val="24"/>
            <w:highlight w:val="yellow"/>
            <w:u w:val="single"/>
            <w:rtl w:val="0"/>
          </w:rPr>
          <w:t xml:space="preserve">https://birosag.hu/civil-szervezetek-nevjegyzeke</w:t>
        </w:r>
      </w:hyperlink>
      <w:r w:rsidDel="00000000" w:rsidR="00000000" w:rsidRPr="00000000">
        <w:rPr>
          <w:rFonts w:ascii="Times New Roman" w:cs="Times New Roman" w:eastAsia="Times New Roman" w:hAnsi="Times New Roman"/>
          <w:sz w:val="24"/>
          <w:szCs w:val="24"/>
          <w:highlight w:val="yellow"/>
          <w:rtl w:val="0"/>
        </w:rPr>
        <w:t xml:space="preserve"> oldalról lekérdezhető, az nem azonos a lajstromszámmal vagy az adószámmal, hanem a fenti formátumot követi!]</w:t>
      </w:r>
      <w:r w:rsidDel="00000000" w:rsidR="00000000" w:rsidRPr="00000000">
        <w:rPr>
          <w:rFonts w:ascii="Times New Roman" w:cs="Times New Roman" w:eastAsia="Times New Roman" w:hAnsi="Times New Roman"/>
          <w:sz w:val="24"/>
          <w:szCs w:val="24"/>
          <w:rtl w:val="0"/>
        </w:rPr>
        <w:t xml:space="preserve">; székhely: </w:t>
      </w:r>
      <w:r w:rsidDel="00000000" w:rsidR="00000000" w:rsidRPr="00000000">
        <w:rPr>
          <w:rFonts w:ascii="Times New Roman" w:cs="Times New Roman" w:eastAsia="Times New Roman" w:hAnsi="Times New Roman"/>
          <w:sz w:val="24"/>
          <w:szCs w:val="24"/>
          <w:highlight w:val="yellow"/>
          <w:rtl w:val="0"/>
        </w:rPr>
        <w:t xml:space="preserve">[SZÉKHELY]</w:t>
      </w:r>
      <w:r w:rsidDel="00000000" w:rsidR="00000000" w:rsidRPr="00000000">
        <w:rPr>
          <w:rFonts w:ascii="Times New Roman" w:cs="Times New Roman" w:eastAsia="Times New Roman" w:hAnsi="Times New Roman"/>
          <w:sz w:val="24"/>
          <w:szCs w:val="24"/>
          <w:rtl w:val="0"/>
        </w:rPr>
        <w:t xml:space="preserve">; e-mail: </w:t>
      </w:r>
      <w:r w:rsidDel="00000000" w:rsidR="00000000" w:rsidRPr="00000000">
        <w:rPr>
          <w:rFonts w:ascii="Times New Roman" w:cs="Times New Roman" w:eastAsia="Times New Roman" w:hAnsi="Times New Roman"/>
          <w:sz w:val="24"/>
          <w:szCs w:val="24"/>
          <w:highlight w:val="yellow"/>
          <w:rtl w:val="0"/>
        </w:rPr>
        <w:t xml:space="preserve">[E-MAIL CÍM]</w:t>
      </w:r>
      <w:r w:rsidDel="00000000" w:rsidR="00000000" w:rsidRPr="00000000">
        <w:rPr>
          <w:rFonts w:ascii="Times New Roman" w:cs="Times New Roman" w:eastAsia="Times New Roman" w:hAnsi="Times New Roman"/>
          <w:sz w:val="24"/>
          <w:szCs w:val="24"/>
          <w:rtl w:val="0"/>
        </w:rPr>
        <w:t xml:space="preserve">), mint az Európai Parlament tagjai, a helyi önkormányzati képviselők és polgármesterek, valamint a nemzetiségi önkormányzati képviselők közös eljárásban tartott 2024. évi általános választásán az </w:t>
      </w:r>
      <w:r w:rsidDel="00000000" w:rsidR="00000000" w:rsidRPr="00000000">
        <w:rPr>
          <w:rFonts w:ascii="Times New Roman" w:cs="Times New Roman" w:eastAsia="Times New Roman" w:hAnsi="Times New Roman"/>
          <w:sz w:val="24"/>
          <w:szCs w:val="24"/>
          <w:highlight w:val="yellow"/>
          <w:rtl w:val="0"/>
        </w:rPr>
        <w:t xml:space="preserve">Európai Parlament tagjainak választásán / a helyi önkormányzati képviselők és polgármesterek választásán [kérjük, csak a megfelelőt hagyja bent!]</w:t>
      </w:r>
      <w:r w:rsidDel="00000000" w:rsidR="00000000" w:rsidRPr="00000000">
        <w:rPr>
          <w:rFonts w:ascii="Times New Roman" w:cs="Times New Roman" w:eastAsia="Times New Roman" w:hAnsi="Times New Roman"/>
          <w:sz w:val="24"/>
          <w:szCs w:val="24"/>
          <w:rtl w:val="0"/>
        </w:rPr>
        <w:t xml:space="preserve"> jogerősen nyilvántartásba vett jelölő szervezet a választási eljárásról szóló 2013. évi XXXVI. törvény (a továbbiakban: Ve.) 208. § alapján az alábbi jogszabálysértés miatt kifogást nyújtok be. </w:t>
      </w:r>
    </w:p>
    <w:p w:rsidR="00000000" w:rsidDel="00000000" w:rsidP="00000000" w:rsidRDefault="00000000" w:rsidRPr="00000000" w14:paraId="0000000E">
      <w:pPr>
        <w:pBdr>
          <w:left w:color="auto" w:space="0" w:sz="0" w:val="none"/>
          <w:right w:color="auto" w:space="0" w:sz="0" w:val="none"/>
        </w:pBd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pBdr>
          <w:left w:color="auto" w:space="0" w:sz="0" w:val="none"/>
          <w:right w:color="auto" w:space="0" w:sz="0" w:val="none"/>
        </w:pBd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[Magánszemély esetében a személyi azonosító, szervezet esetében a nyilvántartási szám fel nem tüntetése vagy helytelen feltüntetése esetén a kifogást nem fogja érdemben vizsgálni a választási bizottság!]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pBdr>
          <w:left w:color="auto" w:space="0" w:sz="0" w:val="none"/>
          <w:right w:color="auto" w:space="0" w:sz="0" w:val="none"/>
        </w:pBd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Tényállás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pBdr>
          <w:left w:color="auto" w:space="0" w:sz="0" w:val="none"/>
          <w:right w:color="auto" w:space="0" w:sz="0" w:val="none"/>
        </w:pBd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[Itt következik annak a rövid leírása, hogy </w:t>
      </w:r>
      <w:r w:rsidDel="00000000" w:rsidR="00000000" w:rsidRPr="00000000">
        <w:rPr>
          <w:rFonts w:ascii="Times New Roman" w:cs="Times New Roman" w:eastAsia="Times New Roman" w:hAnsi="Times New Roman"/>
          <w:i w:val="1"/>
          <w:iCs w:val="1"/>
          <w:sz w:val="24"/>
          <w:szCs w:val="24"/>
          <w:highlight w:val="yellow"/>
          <w:u w:val="single"/>
          <w:rtl w:val="0"/>
        </w:rPr>
        <w:t xml:space="preserve">mi történt</w:t>
      </w:r>
      <w:r w:rsidDel="00000000" w:rsidR="00000000" w:rsidRPr="00000000">
        <w:rPr>
          <w:rFonts w:ascii="Times New Roman" w:cs="Times New Roman" w:eastAsia="Times New Roman" w:hAnsi="Times New Roman"/>
          <w:i w:val="1"/>
          <w:iCs w:val="1"/>
          <w:sz w:val="24"/>
          <w:szCs w:val="24"/>
          <w:highlight w:val="yellow"/>
          <w:rtl w:val="0"/>
        </w:rPr>
        <w:t xml:space="preserve">,</w:t>
      </w:r>
      <w:r w:rsidDel="00000000" w:rsidR="00000000" w:rsidRPr="00000000">
        <w:rPr>
          <w:rFonts w:ascii="Times New Roman" w:cs="Times New Roman" w:eastAsia="Times New Roman" w:hAnsi="Times New Roman"/>
          <w:sz w:val="24"/>
          <w:szCs w:val="24"/>
          <w:highlight w:val="yellow"/>
          <w:rtl w:val="0"/>
        </w:rPr>
        <w:t xml:space="preserve"> mi a kifogásolt cselekvés vagy mulasztás. Fontos, hogy a leírás kitérjen arra, hogy a kifogásolt magatartás </w:t>
      </w:r>
      <w:r w:rsidDel="00000000" w:rsidR="00000000" w:rsidRPr="00000000">
        <w:rPr>
          <w:rFonts w:ascii="Times New Roman" w:cs="Times New Roman" w:eastAsia="Times New Roman" w:hAnsi="Times New Roman"/>
          <w:i w:val="1"/>
          <w:iCs w:val="1"/>
          <w:sz w:val="24"/>
          <w:szCs w:val="24"/>
          <w:highlight w:val="yellow"/>
          <w:u w:val="single"/>
          <w:rtl w:val="0"/>
        </w:rPr>
        <w:t xml:space="preserve">mikor történt, hol történt, és ha az tudható, ki követte el</w:t>
      </w:r>
      <w:r w:rsidDel="00000000" w:rsidR="00000000" w:rsidRPr="00000000">
        <w:rPr>
          <w:rFonts w:ascii="Times New Roman" w:cs="Times New Roman" w:eastAsia="Times New Roman" w:hAnsi="Times New Roman"/>
          <w:sz w:val="24"/>
          <w:szCs w:val="24"/>
          <w:highlight w:val="yellow"/>
          <w:rtl w:val="0"/>
        </w:rPr>
        <w:t xml:space="preserve">. Önmagában az, hogy a jogsértés elkövetője nem ismert, nem akadálya a kifogás benyújtásának, ilyenkor arra kell utalni a tényállásban, hogy az elkövető ismeretlen.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pBdr>
          <w:left w:color="auto" w:space="0" w:sz="0" w:val="none"/>
          <w:right w:color="auto" w:space="0" w:sz="0" w:val="none"/>
        </w:pBd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A tényállás leírásához bizonyítékot is kell csatolni, ennek hiányában a kifogást érdemi vizsgálat nélkül el fogja utasítani a választási bizottság. Amennyiben készült bármilyen hang-, videó-, stb. felvétel a jogsértésről, akkor azt csatolni szükséges. A képfelvételen vagy videón a helyszínnek is jól beazonosíthatónak kell lennie. A kép- vagy videófelvétel mellett vagy helyett a jogsértést tanúsító személyektől, szemtanúktól olyan nyilatkozatot kell csatolni a kifogáshoz, amely alátámasztja a tényállást. A nyilatkozatra mintát</w:t>
      </w:r>
      <w:hyperlink r:id="rId14">
        <w:r w:rsidDel="00000000" w:rsidR="00000000" w:rsidRPr="00000000">
          <w:rPr>
            <w:rFonts w:ascii="Times New Roman" w:cs="Times New Roman" w:eastAsia="Times New Roman" w:hAnsi="Times New Roman"/>
            <w:sz w:val="24"/>
            <w:szCs w:val="24"/>
            <w:highlight w:val="yellow"/>
            <w:rtl w:val="0"/>
          </w:rPr>
          <w:t xml:space="preserve"> </w:t>
        </w:r>
      </w:hyperlink>
      <w:hyperlink r:id="rId15">
        <w:r w:rsidDel="00000000" w:rsidR="00000000" w:rsidRPr="00000000">
          <w:rPr>
            <w:rFonts w:ascii="Times New Roman" w:cs="Times New Roman" w:eastAsia="Times New Roman" w:hAnsi="Times New Roman"/>
            <w:color w:val="1155cc"/>
            <w:sz w:val="24"/>
            <w:szCs w:val="24"/>
            <w:highlight w:val="yellow"/>
            <w:u w:val="single"/>
            <w:rtl w:val="0"/>
          </w:rPr>
          <w:t xml:space="preserve">ezen a linken</w:t>
        </w:r>
      </w:hyperlink>
      <w:r w:rsidDel="00000000" w:rsidR="00000000" w:rsidRPr="00000000">
        <w:rPr>
          <w:rFonts w:ascii="Times New Roman" w:cs="Times New Roman" w:eastAsia="Times New Roman" w:hAnsi="Times New Roman"/>
          <w:sz w:val="24"/>
          <w:szCs w:val="24"/>
          <w:highlight w:val="yellow"/>
          <w:rtl w:val="0"/>
        </w:rPr>
        <w:t xml:space="preserve"> talál. Ha a bizonyíték (pl. videofelvétel vagy fénykép) az interneten elérhető, akkor elegendő csak a bizonyíték linkjét feltüntetni a kifogásban.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pBdr>
          <w:left w:color="auto" w:space="0" w:sz="0" w:val="none"/>
          <w:right w:color="auto" w:space="0" w:sz="0" w:val="none"/>
        </w:pBd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A jogorvoslati határidő megtartottsága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pBdr>
          <w:left w:color="auto" w:space="0" w:sz="0" w:val="none"/>
          <w:right w:color="auto" w:space="0" w:sz="0" w:val="none"/>
        </w:pBd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Figyelemmel arra, hogy a fenti történés folyamatosan fennálló tevékenységnek minősül, és az a jelen kifogás benyújtásakor még fennáll (a kifogás benyújtásakor olyan választópolgárok vannak névjegyzékben a választókerület területén lévő településen, akiknek a szóban forgó választókerülethez nincs kapcsolódásuk), a Ve. 209. § (2) bekezdése szerinti jogorvoslati határidőt a kifogástevő megtartotta. </w:t>
      </w:r>
    </w:p>
    <w:p w:rsidR="00000000" w:rsidDel="00000000" w:rsidP="00000000" w:rsidRDefault="00000000" w:rsidRPr="00000000" w14:paraId="00000015">
      <w:pPr>
        <w:pBdr>
          <w:left w:color="auto" w:space="0" w:sz="0" w:val="none"/>
          <w:right w:color="auto" w:space="0" w:sz="0" w:val="none"/>
        </w:pBd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A tényállás minősítése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pBdr>
          <w:left w:color="auto" w:space="0" w:sz="0" w:val="none"/>
          <w:right w:color="auto" w:space="0" w:sz="0" w:val="none"/>
        </w:pBd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cselekmény az ún. voksturizmus esetének tekinthető, mely a Ve. </w:t>
      </w: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 bekezdésében meghatározott alábbi alapelveket sérti az alábbiak szerint:</w:t>
      </w:r>
    </w:p>
    <w:p w:rsidR="00000000" w:rsidDel="00000000" w:rsidP="00000000" w:rsidRDefault="00000000" w:rsidRPr="00000000" w14:paraId="00000017">
      <w:pPr>
        <w:pBdr>
          <w:left w:color="auto" w:space="0" w:sz="0" w:val="none"/>
          <w:right w:color="auto" w:space="0" w:sz="0" w:val="none"/>
        </w:pBdr>
        <w:spacing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a választás tisztaságának megóvása,</w:t>
      </w:r>
    </w:p>
    <w:p w:rsidR="00000000" w:rsidDel="00000000" w:rsidP="00000000" w:rsidRDefault="00000000" w:rsidRPr="00000000" w14:paraId="00000018">
      <w:pPr>
        <w:pBdr>
          <w:left w:color="auto" w:space="0" w:sz="0" w:val="none"/>
          <w:right w:color="auto" w:space="0" w:sz="0" w:val="none"/>
        </w:pBdr>
        <w:spacing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önkéntes részvétel a választási eljárásban,</w:t>
      </w:r>
    </w:p>
    <w:p w:rsidR="00000000" w:rsidDel="00000000" w:rsidP="00000000" w:rsidRDefault="00000000" w:rsidRPr="00000000" w14:paraId="00000019">
      <w:pPr>
        <w:pBdr>
          <w:left w:color="auto" w:space="0" w:sz="0" w:val="none"/>
          <w:right w:color="auto" w:space="0" w:sz="0" w:val="none"/>
        </w:pBdr>
        <w:spacing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esélyegyenlőség a jelöltek és a jelölő szervezetek között,</w:t>
      </w:r>
    </w:p>
    <w:p w:rsidR="00000000" w:rsidDel="00000000" w:rsidP="00000000" w:rsidRDefault="00000000" w:rsidRPr="00000000" w14:paraId="0000001A">
      <w:pPr>
        <w:pBdr>
          <w:top w:color="auto" w:space="0" w:sz="0" w:val="none"/>
          <w:left w:color="auto" w:space="43" w:sz="0" w:val="none"/>
          <w:bottom w:color="auto" w:space="0" w:sz="0" w:val="none"/>
          <w:right w:color="auto" w:space="9" w:sz="0" w:val="none"/>
          <w:between w:color="auto" w:space="0" w:sz="0" w:val="none"/>
        </w:pBd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e) </w:t>
      </w:r>
      <w:r w:rsidDel="00000000" w:rsidR="00000000" w:rsidRPr="00000000">
        <w:rPr>
          <w:rFonts w:ascii="Times New Roman" w:cs="Times New Roman" w:eastAsia="Times New Roman" w:hAnsi="Times New Roman"/>
          <w:sz w:val="24"/>
          <w:szCs w:val="24"/>
          <w:rtl w:val="0"/>
        </w:rPr>
        <w:t xml:space="preserve">jóhiszemű és rendeltetésszerű joggyakorlás.</w:t>
      </w:r>
    </w:p>
    <w:p w:rsidR="00000000" w:rsidDel="00000000" w:rsidP="00000000" w:rsidRDefault="00000000" w:rsidRPr="00000000" w14:paraId="0000001B">
      <w:pPr>
        <w:pBdr>
          <w:top w:color="auto" w:space="0" w:sz="0" w:val="none"/>
          <w:left w:color="auto" w:space="43" w:sz="0" w:val="none"/>
          <w:bottom w:color="auto" w:space="0" w:sz="0" w:val="none"/>
          <w:right w:color="auto" w:space="9" w:sz="0" w:val="none"/>
          <w:between w:color="auto" w:space="0" w:sz="0" w:val="none"/>
        </w:pBd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választási eljárási alapelvek az Alkotmánybíróság szerint a jogállamiság elvéből fakadnak, a jogállamiságból folyó jogbiztonság érvényesülését is szolgálják, így kiemelt jelentőséggel bírnak [32/2001. (VII. 11.) AB határozat, 338/B/2002. AB határozat, 18/2008. (III. 12.) AB határozat]. A kialakult joggyakorlat alapján választási eljárási alapelvi sérelemre – mint jogszabálysértésre – akkor alapozható határozat, ha nincs olyan tételes rendelkezés, amelyet a jogellenesnek minősített magatartás sért.</w:t>
      </w:r>
    </w:p>
    <w:p w:rsidR="00000000" w:rsidDel="00000000" w:rsidP="00000000" w:rsidRDefault="00000000" w:rsidRPr="00000000" w14:paraId="0000001C">
      <w:pPr>
        <w:pBdr>
          <w:top w:color="auto" w:space="0" w:sz="0" w:val="none"/>
          <w:left w:color="auto" w:space="43" w:sz="0" w:val="none"/>
          <w:bottom w:color="auto" w:space="0" w:sz="0" w:val="none"/>
          <w:right w:color="auto" w:space="9" w:sz="0" w:val="none"/>
          <w:between w:color="auto" w:space="0" w:sz="0" w:val="none"/>
        </w:pBdr>
        <w:spacing w:after="240" w:before="240"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A választás tisztasága megóvásának alapelvének, továbbá a jóhiszemű és rendeltetésszerű joggyakorlás alapelvének</w:t>
      </w:r>
      <w:r w:rsidDel="00000000" w:rsidR="00000000" w:rsidRPr="00000000">
        <w:rPr>
          <w:rFonts w:ascii="Times New Roman" w:cs="Times New Roman" w:eastAsia="Times New Roman" w:hAnsi="Times New Roman"/>
          <w:b w:val="1"/>
          <w:bCs w:val="1"/>
          <w:sz w:val="24"/>
          <w:szCs w:val="24"/>
          <w:rtl w:val="0"/>
        </w:rPr>
        <w:t xml:space="preserve"> sérelmét az alábbiak támasztják alá. </w:t>
      </w:r>
    </w:p>
    <w:p w:rsidR="00000000" w:rsidDel="00000000" w:rsidP="00000000" w:rsidRDefault="00000000" w:rsidRPr="00000000" w14:paraId="0000001D">
      <w:pPr>
        <w:numPr>
          <w:ilvl w:val="0"/>
          <w:numId w:val="1"/>
        </w:numPr>
        <w:pBdr>
          <w:top w:color="auto" w:space="0" w:sz="0" w:val="none"/>
          <w:left w:color="auto" w:space="43" w:sz="0" w:val="none"/>
          <w:bottom w:color="auto" w:space="0" w:sz="0" w:val="none"/>
          <w:right w:color="auto" w:space="9" w:sz="0" w:val="none"/>
          <w:between w:color="auto" w:space="0" w:sz="0" w:val="none"/>
        </w:pBdr>
        <w:spacing w:after="0" w:afterAutospacing="0" w:before="24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Pécsi Ítélőtábla Várfölde település polgármester-választása tekintetében hozott Pk.III.50.029/2019/7. számú döntésében rögzítette, hogy </w:t>
      </w:r>
      <w:r w:rsidDel="00000000" w:rsidR="00000000" w:rsidRPr="00000000">
        <w:rPr>
          <w:rFonts w:ascii="Times New Roman" w:cs="Times New Roman" w:eastAsia="Times New Roman" w:hAnsi="Times New Roman"/>
          <w:i w:val="1"/>
          <w:iCs w:val="1"/>
          <w:sz w:val="24"/>
          <w:szCs w:val="24"/>
          <w:rtl w:val="0"/>
        </w:rPr>
        <w:t xml:space="preserve">„az objektív számadatok a valószínűség szintjét elérő bizonyítékok, önmagukban felvetik a jogsértés gyanúját, hiszen a hirtelen és jelentős népességnövekedésnek, illetőleg a választópolgárok számában történt …. emelkedésnek a választási eredmények befolyásolásának szándékán kívül nincs egyéb ésszerű magyarázata.”</w:t>
      </w:r>
    </w:p>
    <w:p w:rsidR="00000000" w:rsidDel="00000000" w:rsidP="00000000" w:rsidRDefault="00000000" w:rsidRPr="00000000" w14:paraId="0000001E">
      <w:pPr>
        <w:numPr>
          <w:ilvl w:val="0"/>
          <w:numId w:val="1"/>
        </w:numPr>
        <w:pBdr>
          <w:top w:color="auto" w:space="0" w:sz="0" w:val="none"/>
          <w:left w:color="auto" w:space="0" w:sz="0" w:val="none"/>
          <w:bottom w:color="auto" w:space="0" w:sz="0" w:val="none"/>
          <w:right w:color="auto" w:space="0" w:sz="0" w:val="none"/>
          <w:between w:color="auto" w:space="0" w:sz="0" w:val="none"/>
        </w:pBd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Bár a választójog gyakorlásának nem feltétele az életvitelszerű helyben lakás, </w:t>
      </w:r>
      <w:r w:rsidDel="00000000" w:rsidR="00000000" w:rsidRPr="00000000">
        <w:rPr>
          <w:rFonts w:ascii="Times New Roman" w:cs="Times New Roman" w:eastAsia="Times New Roman" w:hAnsi="Times New Roman"/>
          <w:i w:val="1"/>
          <w:iCs w:val="1"/>
          <w:sz w:val="24"/>
          <w:szCs w:val="24"/>
          <w:rtl w:val="0"/>
        </w:rPr>
        <w:t xml:space="preserve">„ha azonban mindez a választás eredményének befolyásolása céljából történik, az már jogellenes magatartás, egyebek mellett a rendeltetésszerű joggyakorlás követelményébe ütközik.”</w:t>
      </w:r>
      <w:r w:rsidDel="00000000" w:rsidR="00000000" w:rsidRPr="00000000">
        <w:rPr>
          <w:rFonts w:ascii="Times New Roman" w:cs="Times New Roman" w:eastAsia="Times New Roman" w:hAnsi="Times New Roman"/>
          <w:sz w:val="24"/>
          <w:szCs w:val="24"/>
          <w:rtl w:val="0"/>
        </w:rPr>
        <w:t xml:space="preserve"> A választás tisztasága, a jóhiszemű és rendeltetésszerű joggyakorlás olyan alapelvek, </w:t>
      </w:r>
      <w:r w:rsidDel="00000000" w:rsidR="00000000" w:rsidRPr="00000000">
        <w:rPr>
          <w:rFonts w:ascii="Times New Roman" w:cs="Times New Roman" w:eastAsia="Times New Roman" w:hAnsi="Times New Roman"/>
          <w:i w:val="1"/>
          <w:iCs w:val="1"/>
          <w:sz w:val="24"/>
          <w:szCs w:val="24"/>
          <w:rtl w:val="0"/>
        </w:rPr>
        <w:t xml:space="preserve">„melyek a választási eljárás minden szakaszára és minden résztvevőjére kötelező érvényűek, azok megsértése a demokratikus választás mint jogintézmény céljával és tartalmával való visszaélést jelent. A jogosultságok gyakorlása - jelen esetben állandó bejelentett lakóhely létesítése és a választójog gyakorlása - nem irányulhat a jog rendeltetésével össze nem egyeztethető célra - jelen esetben a választás eredményének befolyásolására.”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numPr>
          <w:ilvl w:val="0"/>
          <w:numId w:val="1"/>
        </w:numPr>
        <w:pBdr>
          <w:top w:color="auto" w:space="0" w:sz="0" w:val="none"/>
          <w:left w:color="auto" w:space="0" w:sz="0" w:val="none"/>
          <w:bottom w:color="auto" w:space="0" w:sz="0" w:val="none"/>
          <w:right w:color="auto" w:space="0" w:sz="0" w:val="none"/>
          <w:between w:color="auto" w:space="0" w:sz="0" w:val="none"/>
        </w:pBd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Kúria Kvk.V.39.138/2024/5. számú döntésében rögzítette, hogy </w:t>
      </w:r>
      <w:r w:rsidDel="00000000" w:rsidR="00000000" w:rsidRPr="00000000">
        <w:rPr>
          <w:rFonts w:ascii="Times New Roman" w:cs="Times New Roman" w:eastAsia="Times New Roman" w:hAnsi="Times New Roman"/>
          <w:i w:val="1"/>
          <w:iCs w:val="1"/>
          <w:sz w:val="24"/>
          <w:szCs w:val="24"/>
          <w:rtl w:val="0"/>
        </w:rPr>
        <w:t xml:space="preserve">az Alaptörvény XXIII. cikk (5) bekezdése szerint „A helyi önkormányzati képviselők és polgármesterek választásán a választópolgár lakóhelyén vagy bejelentett tartózkodási helyén választhat. A választópolgár a szavazás jogát lakóhelyén vagy bejelentett tartózkodási helyén gyakorolhatja.” A Ve. 168. §-a szerint a választópolgár a lakcíme szerinti szavazókörben szavazhat. A lakóhely megválasztásának joga szabad, és az Alkotmánybíróság a lakcímbejelentés és a választójog összefüggéseit vizsgálva a 3063/2022. (II. 25.) AB számú határozatában rámutatott, hogy a lakóhely fogalma [a polgárok személyi adatainak és lakcímének nyilvántartásáról szóló 1992. évi LXVI. törvény (a továbbiakban: Nytv.) 5. § (2) bekezdés] nem követeli meg az életvitelszerű ott tartózkodást, az elsősorban az állam és a polgár közti hivatalos kapcsolattartást szolgálja. Ebből következik, hogy a választási eljárásban a lakcím sem feltételezi, hogy a választópolgár életvitelszerűen a bejelentett lakcímén tartózkodjon. Mivel azonban a lakcím alapozza meg, hogy a választópolgár egy adott település polgármester választásán részt vehessen, jelen esetben a Ve. tételes jogi rendelkezéseinek betartása ellenére - a lakcím-bejelentéshez kapcsolódó rendeltetésellenes joggyakorlás miatt - a választás alapelveinek sérelme következett be az alábbiakban kifejtettek szerint. Az alapelvi sérelmek egyedi esetben történő vizsgálhatóságára az Alkotmánybíróság hivatkozott döntésének [39] bekezdésében maga is utalt, azt … törvényességi kérdésnek minősítette.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lakcím fentiek szerinti szerepe nem kizárólag a polgármester-választáson, hanem az országgyűlési választáson induló egyéni választókerületi jelöltek esetében is hasonló: egyéni választókerületi jelöltre kizárólag magyarországi lakcímmel rendelkező választópolgár szavazhat, és adott egyéni választókerületi jelöltekre egyikére kizárólag az szavazhat, akinek az adott választókerületben van lakcíme. Az országgyűlési képviselők választásáról szóló 2011. évi CCIII. törvény (Vjt.) 12. § (1) bekezdése szerint a magyarországi lakóhellyel rendelkező választópolgár </w:t>
      </w:r>
      <w:r w:rsidDel="00000000" w:rsidR="00000000" w:rsidRPr="00000000">
        <w:rPr>
          <w:rFonts w:ascii="Times New Roman" w:cs="Times New Roman" w:eastAsia="Times New Roman" w:hAnsi="Times New Roman"/>
          <w:i w:val="1"/>
          <w:iCs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egy egyéni választókerületi jelöltre és </w:t>
      </w:r>
      <w:r w:rsidDel="00000000" w:rsidR="00000000" w:rsidRPr="00000000">
        <w:rPr>
          <w:rFonts w:ascii="Times New Roman" w:cs="Times New Roman" w:eastAsia="Times New Roman" w:hAnsi="Times New Roman"/>
          <w:i w:val="1"/>
          <w:iCs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egy pártlistára szavazhat. Ugyanezen szakasz (2) bekezdése szerint a nemzetiségi választópolgár is szavazhat egy egyéni választókerületi jelöltre, továbbá nemzetiségének listájára (vagy ennek hiányában pártlistára). A Ve. 3. § 5. pontja értelmében a </w:t>
      </w:r>
      <w:r w:rsidDel="00000000" w:rsidR="00000000" w:rsidRPr="00000000">
        <w:rPr>
          <w:rFonts w:ascii="Times New Roman" w:cs="Times New Roman" w:eastAsia="Times New Roman" w:hAnsi="Times New Roman"/>
          <w:i w:val="1"/>
          <w:iCs w:val="1"/>
          <w:sz w:val="24"/>
          <w:szCs w:val="24"/>
          <w:rtl w:val="0"/>
        </w:rPr>
        <w:t xml:space="preserve">magyarországi lakcím: </w:t>
      </w:r>
      <w:r w:rsidDel="00000000" w:rsidR="00000000" w:rsidRPr="00000000">
        <w:rPr>
          <w:rFonts w:ascii="Times New Roman" w:cs="Times New Roman" w:eastAsia="Times New Roman" w:hAnsi="Times New Roman"/>
          <w:sz w:val="24"/>
          <w:szCs w:val="24"/>
          <w:rtl w:val="0"/>
        </w:rPr>
        <w:t xml:space="preserve">a bejelentett magyarországi lakóhely címe; a sem magyarországi, sem külföldi bejelentett lakóhellyel nem rendelkező személy esetében a bejelentett magyarországi tartózkodási hely címe.</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numPr>
          <w:ilvl w:val="0"/>
          <w:numId w:val="2"/>
        </w:numPr>
        <w:pBdr>
          <w:top w:color="auto" w:space="0" w:sz="0" w:val="none"/>
          <w:left w:color="auto" w:space="0" w:sz="0" w:val="none"/>
          <w:bottom w:color="auto" w:space="0" w:sz="0" w:val="none"/>
          <w:right w:color="auto" w:space="0" w:sz="0" w:val="none"/>
          <w:between w:color="auto" w:space="0" w:sz="0" w:val="none"/>
        </w:pBd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Az Alaptörvény Alapvetés című fejezetének B) cikk az alábbiakat tartalmazza:</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Magyarország független, demokratikus jogállam.</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Magyarország államformája köztársaság.</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 közhatalom forrása a nép.</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 nép a hatalmát választott képviselői útján, kivételesen közvetlenül gyakorolja.</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Ezen rendelkezések együttesen határozzák meg a képviseleti demokrácia rendszerét, melyben a közhatalom forrása a nép. Éppen ezért kiemelt érdek fűződik ahhoz, hogy a közhatalom keletkeztetésében arra jogosultak, jogszerű eljárásban vegyenek részt. A voksturizmus ezen követelmény aláásását jelenti. A voksturizmus nyomán olyan választási eredmény jöhet létre, mely nem tükrözi az adott választókerületben élők valódi szándékát a tekintetben, hogy az adott választókerületben ki legyen az egyéni mandátum nyertese, ezáltal adott körülmények között a törvényhozási többség összetételét sem.</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numPr>
          <w:ilvl w:val="0"/>
          <w:numId w:val="4"/>
        </w:numPr>
        <w:pBdr>
          <w:top w:color="auto" w:space="0" w:sz="0" w:val="none"/>
          <w:left w:color="auto" w:space="0" w:sz="0" w:val="none"/>
          <w:bottom w:color="auto" w:space="0" w:sz="0" w:val="none"/>
          <w:right w:color="auto" w:space="0" w:sz="0" w:val="none"/>
          <w:between w:color="auto" w:space="0" w:sz="0" w:val="none"/>
        </w:pBd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Vjt. preambuluma szerint az Országgyűlés </w:t>
      </w:r>
    </w:p>
    <w:p w:rsidR="00000000" w:rsidDel="00000000" w:rsidP="00000000" w:rsidRDefault="00000000" w:rsidRPr="00000000" w14:paraId="0000002E">
      <w:pPr>
        <w:pBdr>
          <w:top w:color="auto" w:space="0" w:sz="0" w:val="none"/>
          <w:left w:color="auto" w:space="41" w:sz="0" w:val="none"/>
          <w:bottom w:color="auto" w:space="0" w:sz="0" w:val="none"/>
          <w:right w:color="auto" w:space="7" w:sz="0" w:val="none"/>
          <w:between w:color="auto" w:space="0" w:sz="0" w:val="none"/>
        </w:pBd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alapozva Magyarország népképviseleten alapuló törvényhozási hagyományaira;</w:t>
      </w:r>
    </w:p>
    <w:p w:rsidR="00000000" w:rsidDel="00000000" w:rsidP="00000000" w:rsidRDefault="00000000" w:rsidRPr="00000000" w14:paraId="0000002F">
      <w:pPr>
        <w:pBdr>
          <w:top w:color="auto" w:space="0" w:sz="0" w:val="none"/>
          <w:left w:color="auto" w:space="41" w:sz="0" w:val="none"/>
          <w:bottom w:color="auto" w:space="0" w:sz="0" w:val="none"/>
          <w:right w:color="auto" w:space="7" w:sz="0" w:val="none"/>
          <w:between w:color="auto" w:space="0" w:sz="0" w:val="none"/>
        </w:pBd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garantálva, hogy hazánkban a közhatalom forrása a nép, amely hatalmát elsősorban választott képviselői útján, a választók akaratának szabad kifejezését biztosító választáson gyakorolja;</w:t>
      </w:r>
    </w:p>
    <w:p w:rsidR="00000000" w:rsidDel="00000000" w:rsidP="00000000" w:rsidRDefault="00000000" w:rsidRPr="00000000" w14:paraId="00000030">
      <w:pPr>
        <w:pBdr>
          <w:top w:color="auto" w:space="0" w:sz="0" w:val="none"/>
          <w:left w:color="auto" w:space="41" w:sz="0" w:val="none"/>
          <w:bottom w:color="auto" w:space="0" w:sz="0" w:val="none"/>
          <w:right w:color="auto" w:space="7" w:sz="0" w:val="none"/>
          <w:between w:color="auto" w:space="0" w:sz="0" w:val="none"/>
        </w:pBd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biztosítva a választópolgárok jogát az általános és egyenlő választójoghoz, továbbá a közvetlen és titkos szavazáshoz;</w:t>
      </w:r>
    </w:p>
    <w:p w:rsidR="00000000" w:rsidDel="00000000" w:rsidP="00000000" w:rsidRDefault="00000000" w:rsidRPr="00000000" w14:paraId="00000031">
      <w:pPr>
        <w:pBdr>
          <w:top w:color="auto" w:space="0" w:sz="0" w:val="none"/>
          <w:left w:color="auto" w:space="41" w:sz="0" w:val="none"/>
          <w:bottom w:color="auto" w:space="0" w:sz="0" w:val="none"/>
          <w:right w:color="auto" w:space="7" w:sz="0" w:val="none"/>
          <w:between w:color="auto" w:space="0" w:sz="0" w:val="none"/>
        </w:pBd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tekintettel arra, hogy a pártok közreműködnek a nép akaratának kialakításában és kinyilvánításában</w:t>
      </w:r>
    </w:p>
    <w:p w:rsidR="00000000" w:rsidDel="00000000" w:rsidP="00000000" w:rsidRDefault="00000000" w:rsidRPr="00000000" w14:paraId="00000032">
      <w:pPr>
        <w:pBdr>
          <w:top w:color="auto" w:space="0" w:sz="0" w:val="none"/>
          <w:left w:color="auto" w:space="41" w:sz="0" w:val="none"/>
          <w:bottom w:color="auto" w:space="0" w:sz="0" w:val="none"/>
          <w:right w:color="auto" w:space="7" w:sz="0" w:val="none"/>
          <w:between w:color="auto" w:space="0" w:sz="0" w:val="none"/>
        </w:pBd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alkotja meg a jogszabályt. </w:t>
      </w:r>
    </w:p>
    <w:p w:rsidR="00000000" w:rsidDel="00000000" w:rsidP="00000000" w:rsidRDefault="00000000" w:rsidRPr="00000000" w14:paraId="00000033">
      <w:pPr>
        <w:pBdr>
          <w:top w:color="auto" w:space="0" w:sz="0" w:val="none"/>
          <w:left w:color="auto" w:space="41" w:sz="0" w:val="none"/>
          <w:bottom w:color="auto" w:space="0" w:sz="0" w:val="none"/>
          <w:right w:color="auto" w:space="7" w:sz="0" w:val="none"/>
          <w:between w:color="auto" w:space="0" w:sz="0" w:val="none"/>
        </w:pBd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Vjt. preambuluma részben az Alaptörvény idézett rendelkezéseit ismétli meg, némileg eltérő megfogalmazásban, mely kapcsán a fentiekben már bemutatott érvek érvényesek.</w:t>
      </w:r>
    </w:p>
    <w:p w:rsidR="00000000" w:rsidDel="00000000" w:rsidP="00000000" w:rsidRDefault="00000000" w:rsidRPr="00000000" w14:paraId="00000034">
      <w:pPr>
        <w:numPr>
          <w:ilvl w:val="0"/>
          <w:numId w:val="3"/>
        </w:numPr>
        <w:pBdr>
          <w:top w:color="auto" w:space="0" w:sz="0" w:val="none"/>
          <w:left w:color="auto" w:space="41" w:sz="0" w:val="none"/>
          <w:bottom w:color="auto" w:space="0" w:sz="0" w:val="none"/>
          <w:right w:color="auto" w:space="7" w:sz="0" w:val="none"/>
          <w:between w:color="auto" w:space="0" w:sz="0" w:val="none"/>
        </w:pBdr>
        <w:spacing w:after="0" w:afterAutospacing="0" w:before="24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Jóhiszeműen gyakorolja a jogát az, aki – az elvárható gondosság tanúsítása mellett – a látszattól eltérő valós tényekről nem tud. Megsérti viszont ezen alapelvet az, aki a látszattól eltérő valós tényekről tud, vagy kellő gondosság hiányában nem tud róluk. Különösebb kifejtés nem igényel, hogy aki az adott választókerületben választójoggal rendelkező választópolgárként tünteti fel magát kizárólag annak érdekében, hogy az ottani választás eredményét befolyásolja, jogait (sem a lakcímlétesítést, sem szavazata ezt követő leadását) nem gyakorolja jóhiszeműen. Csak az a joggyakorlás élvez törvényi védelmet és elismerést, amelyben a jogosultság formális előírásain túl annak valódi tartalma is felismerhető [összefoglalóan elsőként: 18/2008. (III. 12.) AB határozat]. Ezért a Kúria Kvk.IV.37.359/2014/2., valamint Kvk.II.37.394/2015/2. számú határozataiban foglalt álláspontja értelmében a rendeltetésszerű joggyakorlás sérelme több a jogsértés megállapíthatóságánál: abban felismerhetően meg kell nyilvánulnia annak a szándéknak, amely a formális jogkövetés égisze alatt a jogintézményben rejlő tartalom kihasználására irányul. Lehetséges tehát, hogy a lakcím létesítésével formálisan jogszerűen szerez választójogot az adott választókerületben és ad le szavazatot egy egyéni jelöltre, de ez nem minősül jóhiszemű és rendeltetésszerű joggyakorlásnak. </w:t>
      </w:r>
    </w:p>
    <w:p w:rsidR="00000000" w:rsidDel="00000000" w:rsidP="00000000" w:rsidRDefault="00000000" w:rsidRPr="00000000" w14:paraId="00000035">
      <w:pPr>
        <w:numPr>
          <w:ilvl w:val="0"/>
          <w:numId w:val="3"/>
        </w:numPr>
        <w:pBdr>
          <w:top w:color="auto" w:space="0" w:sz="0" w:val="none"/>
          <w:left w:color="auto" w:space="41" w:sz="0" w:val="none"/>
          <w:bottom w:color="auto" w:space="0" w:sz="0" w:val="none"/>
          <w:right w:color="auto" w:space="7" w:sz="0" w:val="none"/>
          <w:between w:color="auto" w:space="0" w:sz="0" w:val="none"/>
        </w:pBdr>
        <w:spacing w:after="24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Megsérti a választás tisztaságának alapelvét az, aki úgy gyakorolja jogát, teljesíti kötelezettségét, hogy annak eredményeképpen közvetlenül vagy közvetve a választópolgári akarat szabad kifejezését korlátozza, különösen, ha a választókat megtéveszti és ezáltal politikai ellenfelei választási esélyeit csökkenti.</w:t>
      </w:r>
    </w:p>
    <w:p w:rsidR="00000000" w:rsidDel="00000000" w:rsidP="00000000" w:rsidRDefault="00000000" w:rsidRPr="00000000" w14:paraId="00000036">
      <w:pPr>
        <w:pBdr>
          <w:left w:color="auto" w:space="0" w:sz="0" w:val="none"/>
          <w:right w:color="auto" w:space="0" w:sz="0" w:val="none"/>
        </w:pBdr>
        <w:spacing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Az önkéntes részvétel választási eljárásjogi alapelvének</w:t>
      </w:r>
      <w:r w:rsidDel="00000000" w:rsidR="00000000" w:rsidRPr="00000000">
        <w:rPr>
          <w:rFonts w:ascii="Times New Roman" w:cs="Times New Roman" w:eastAsia="Times New Roman" w:hAnsi="Times New Roman"/>
          <w:b w:val="1"/>
          <w:bCs w:val="1"/>
          <w:sz w:val="24"/>
          <w:szCs w:val="24"/>
          <w:rtl w:val="0"/>
        </w:rPr>
        <w:t xml:space="preserve"> sérelmét az alapozza meg, hogy az aktív választójog megszerzése körében olyan, legitim törekvésként nem azonosító motívum jelenik meg, mely a választópolgárt arra ösztönzi, hogy választójogot szerezzen egy meghatározott egyéni választókerületben, annak érdekében, hogy az ott induló jelöltek egyikére szavazzon. A választópolgárt külső szereplők motiválják erre: olyanok, akik őt rábírják arra, hogy az adott választókerület egyik településén lakcímet létesítsen, annak érdekében, hogy így megszerzett választójogát (nevesen, hogy adott választókerület egyéni jelöltjeire és nem másokra szavazhat) meghatározott jelölt (és ekként a töredékszavazatok nyomán, közvetetten pártlista) javára gyakorolja.</w:t>
      </w:r>
    </w:p>
    <w:p w:rsidR="00000000" w:rsidDel="00000000" w:rsidP="00000000" w:rsidRDefault="00000000" w:rsidRPr="00000000" w14:paraId="00000037">
      <w:pPr>
        <w:pBdr>
          <w:left w:color="auto" w:space="0" w:sz="0" w:val="none"/>
          <w:right w:color="auto" w:space="0" w:sz="0" w:val="none"/>
        </w:pBdr>
        <w:spacing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Az esélyegyenlőség a jelöltek és a jelölő szervezetek között alapelv</w:t>
      </w:r>
      <w:r w:rsidDel="00000000" w:rsidR="00000000" w:rsidRPr="00000000">
        <w:rPr>
          <w:rFonts w:ascii="Times New Roman" w:cs="Times New Roman" w:eastAsia="Times New Roman" w:hAnsi="Times New Roman"/>
          <w:b w:val="1"/>
          <w:bCs w:val="1"/>
          <w:sz w:val="24"/>
          <w:szCs w:val="24"/>
          <w:rtl w:val="0"/>
        </w:rPr>
        <w:t xml:space="preserve"> sérelmét az alapozza meg, hogy a fentiekben bemutatott magatartás nyomán egy jelölt kedvezőbb helyzetben lesz, mint amilyen helyzetben a voksturizmusra ösztönzést mellőző jelöltek és jelölő szervezetek kerülnek. Azaz, egy rosszhiszemű és illegitim magatartás nyomán megborul a tisztességes politikai verseny, a voksturizmusra ösztönzők esélyei ezáltal nőnek a választáson való eredményes szereplésre. </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pBdr>
          <w:left w:color="auto" w:space="0" w:sz="0" w:val="none"/>
          <w:right w:color="auto" w:space="0" w:sz="0" w:val="none"/>
        </w:pBd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Jogkövetkezmény</w:t>
      </w:r>
      <w:r w:rsidDel="00000000" w:rsidR="00000000" w:rsidRPr="00000000">
        <w:rPr>
          <w:rtl w:val="0"/>
        </w:rPr>
      </w:r>
    </w:p>
    <w:p w:rsidR="00000000" w:rsidDel="00000000" w:rsidP="00000000" w:rsidRDefault="00000000" w:rsidRPr="00000000" w14:paraId="0000003A">
      <w:pPr>
        <w:pBdr>
          <w:left w:color="auto" w:space="0" w:sz="0" w:val="none"/>
          <w:right w:color="auto" w:space="0" w:sz="0" w:val="none"/>
        </w:pBd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kifogástevő minderre figyelemmel azt kéri, hogy a tisztelt Választási Bizottság a Ve. 218. § (2) bekezdés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pontja alapján a választási eljárást vagy annak a jogorvoslattal érintett részét semmisítse meg és ismételtesse meg.</w:t>
      </w:r>
      <w:r w:rsidDel="00000000" w:rsidR="00000000" w:rsidRPr="00000000">
        <w:rPr>
          <w:rtl w:val="0"/>
        </w:rPr>
      </w:r>
    </w:p>
    <w:p w:rsidR="00000000" w:rsidDel="00000000" w:rsidP="00000000" w:rsidRDefault="00000000" w:rsidRPr="00000000" w14:paraId="0000003B">
      <w:pPr>
        <w:pBdr>
          <w:left w:color="auto" w:space="0" w:sz="0" w:val="none"/>
          <w:right w:color="auto" w:space="0" w:sz="0" w:val="none"/>
        </w:pBd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Jelen kifogást a kifogástevő a Ve. 212. § (1) bekezdésének megfelelően elektronikus levélben eljuttatva nyújtja be, csatolva ahhoz a kifogás bizonyítékaként a kifogásban megjelölt </w:t>
      </w:r>
      <w:r w:rsidDel="00000000" w:rsidR="00000000" w:rsidRPr="00000000">
        <w:rPr>
          <w:rFonts w:ascii="Times New Roman" w:cs="Times New Roman" w:eastAsia="Times New Roman" w:hAnsi="Times New Roman"/>
          <w:sz w:val="24"/>
          <w:szCs w:val="24"/>
          <w:highlight w:val="yellow"/>
          <w:rtl w:val="0"/>
        </w:rPr>
        <w:t xml:space="preserve">[fényképfelvételeket, videófelvételeket, nyilatkozatokat. – stb. Itt szükséges felsorolnia, hogy mikre hivatkozott a tényállás ismertetése során.]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pBdr>
          <w:left w:color="auto" w:space="0" w:sz="0" w:val="none"/>
          <w:right w:color="auto" w:space="0" w:sz="0" w:val="none"/>
        </w:pBd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D">
      <w:pPr>
        <w:pBdr>
          <w:left w:color="auto" w:space="0" w:sz="0" w:val="none"/>
          <w:right w:color="auto" w:space="0" w:sz="0" w:val="none"/>
        </w:pBd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 , 2025. …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E">
      <w:pPr>
        <w:pBdr>
          <w:left w:color="auto" w:space="0" w:sz="0" w:val="none"/>
          <w:right w:color="auto" w:space="0" w:sz="0" w:val="none"/>
        </w:pBd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Tisztelettel, </w:t>
      </w:r>
    </w:p>
    <w:p w:rsidR="00000000" w:rsidDel="00000000" w:rsidP="00000000" w:rsidRDefault="00000000" w:rsidRPr="00000000" w14:paraId="0000003F">
      <w:pPr>
        <w:pBdr>
          <w:left w:color="auto" w:space="0" w:sz="0" w:val="none"/>
          <w:right w:color="auto" w:space="0" w:sz="0" w:val="none"/>
        </w:pBd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0">
      <w:pPr>
        <w:pBdr>
          <w:left w:color="auto" w:space="0" w:sz="0" w:val="none"/>
          <w:right w:color="auto" w:space="0" w:sz="0" w:val="none"/>
        </w:pBd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[NÉV]</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pBdr>
          <w:left w:color="auto" w:space="0" w:sz="0" w:val="none"/>
          <w:right w:color="auto" w:space="0" w:sz="0" w:val="none"/>
        </w:pBdr>
        <w:rPr/>
      </w:pPr>
      <w:r w:rsidDel="00000000" w:rsidR="00000000" w:rsidRPr="00000000">
        <w:rPr>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tasz.hu/tudastar/mit-tehetsz-ha-valasztasi-csalast-vagy-visszaelest-tapasztalsz/" TargetMode="External"/><Relationship Id="rId10" Type="http://schemas.openxmlformats.org/officeDocument/2006/relationships/hyperlink" Target="https://tasz.hu/tudastar/mit-tehetsz-ha-valasztasi-csalast-vagy-visszaelest-tapasztalsz/" TargetMode="External"/><Relationship Id="rId13" Type="http://schemas.openxmlformats.org/officeDocument/2006/relationships/hyperlink" Target="https://birosag.hu/civil-szervezetek-nevjegyzeke" TargetMode="External"/><Relationship Id="rId12" Type="http://schemas.openxmlformats.org/officeDocument/2006/relationships/hyperlink" Target="https://birosag.hu/civil-szervezetek-nevjegyzek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asz.hu/tudastar/mit-tehetsz-ha-valasztasi-csalast-vagy-visszaelest-tapasztalsz/" TargetMode="External"/><Relationship Id="rId15" Type="http://schemas.openxmlformats.org/officeDocument/2006/relationships/hyperlink" Target="https://tisztavoks.hu/nyilatkozat/" TargetMode="External"/><Relationship Id="rId14" Type="http://schemas.openxmlformats.org/officeDocument/2006/relationships/hyperlink" Target="https://tisztavoks.hu/nyilatkozat/" TargetMode="External"/><Relationship Id="rId5" Type="http://schemas.openxmlformats.org/officeDocument/2006/relationships/styles" Target="styles.xml"/><Relationship Id="rId6" Type="http://schemas.openxmlformats.org/officeDocument/2006/relationships/hyperlink" Target="https://www.valasztas.hu/elerhetosegek" TargetMode="External"/><Relationship Id="rId7" Type="http://schemas.openxmlformats.org/officeDocument/2006/relationships/hyperlink" Target="https://www.valasztas.hu/elerhetosegek" TargetMode="External"/><Relationship Id="rId8" Type="http://schemas.openxmlformats.org/officeDocument/2006/relationships/hyperlink" Target="https://tasz.hu/tudastar/mit-tehetsz-ha-valasztasi-csalast-vagy-visszaelest-tapasztals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