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2026. április 29. napján, 15 óra 34 perckor Példa József a Példa Pártnak gyűjtött aláírást az M2 metróvonal szerelvényén.”]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április 29-én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Ve. 123. § (2) bekezdése tételesen felsorolja, hogy hol nem gyűjthető ajánlás. Ugyanezen szakasz (4) bekezdése alapján érvénytelen a tilalom ellenére gyűjtött ajánlás.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kifogástevő álláspontja szerint az ajánlás gyűjtői megsértették a Ve. 123. § (2) bekezdés c) pontját, mivel tömegközlekedési eszközön gyűjtöttek ajánlást, amelyet a jogszabály kifejezetten tilt.”]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tartalmazza.]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...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bCf/ViV8fIxPolwRQwlSMI7sEg==">CgMxLjA4AHIhMW5kQ1phbDJrcWJTOU9XM0VRM2dkb2Jxd1I3Tm5YSUlJ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